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before="2400"/>
        <w:jc w:val="center"/>
      </w:pPr>
      <w:r>
        <w:rPr>
          <w:rFonts w:ascii="Arial" w:cs="Arial" w:eastAsia="Arial" w:hAnsi="Arial"/>
          <w:b/>
          <w:bCs/>
          <w:sz w:val="40"/>
          <w:szCs w:val="40"/>
        </w:rPr>
        <w:t xml:space="preserve">GreenUp 2027 : combien Veolia peut-elle encore acheter sans dépasser ses engagements de levier ?</w:t>
      </w:r>
    </w:p>
    <w:p>
      <w:pPr>
        <w:spacing w:after="600"/>
        <w:jc w:val="center"/>
      </w:pPr>
      <w:r>
        <w:rPr>
          <w:rFonts w:ascii="Arial" w:cs="Arial" w:eastAsia="Arial" w:hAnsi="Arial"/>
          <w:color w:val="555555"/>
          <w:sz w:val="26"/>
          <w:szCs w:val="26"/>
        </w:rPr>
        <w:t xml:space="preserve">Capstone Innovations in Finance — sujet 2, périmètre « capacité financière »</w:t>
      </w:r>
    </w:p>
    <w:p>
      <w:pPr>
        <w:spacing w:after="120" w:line="300"/>
        <w:jc w:val="center"/>
      </w:pPr>
      <w:r>
        <w:rPr>
          <w:rFonts w:ascii="Arial" w:cs="Arial" w:eastAsia="Arial" w:hAnsi="Arial"/>
          <w:sz w:val="22"/>
          <w:szCs w:val="22"/>
        </w:rPr>
        <w:t xml:space="preserve">Rapport écrit — remise le 25 novembre 2026</w:t>
      </w:r>
    </w:p>
    <w:p>
      <w:pPr>
        <w:spacing w:after="120" w:line="300"/>
        <w:jc w:val="center"/>
      </w:pPr>
      <w:r>
        <w:rPr>
          <w:rFonts w:ascii="Arial" w:cs="Arial" w:eastAsia="Arial" w:hAnsi="Arial"/>
          <w:i/>
          <w:iCs/>
          <w:sz w:val="22"/>
          <w:szCs w:val="22"/>
        </w:rPr>
        <w:t xml:space="preserve">Groupe : [[prénoms et noms, un par rôle]]</w:t>
      </w:r>
    </w:p>
    <w:p>
      <w:pPr>
        <w:spacing w:before="1200"/>
        <w:jc w:val="center"/>
      </w:pPr>
      <w:r>
        <w:rPr>
          <w:rFonts w:ascii="Arial" w:cs="Arial" w:eastAsia="Arial" w:hAnsi="Arial"/>
          <w:color w:val="555555"/>
          <w:sz w:val="18"/>
          <w:szCs w:val="18"/>
        </w:rPr>
        <w:t xml:space="preserve">Squelette généré le 2026-10-10 depuis la dataroom du groupe (670 chiffres sourcés ; contrôles du classeur : OK). Chaque chiffre cité renvoie à l'annexe A : fichier, page, URL, date de consultation. Les passages surlignés sont à rédiger par l'auteur de la section ; « † » après un identifiant : ligne que personne n'a encore relue.</w:t>
      </w:r>
    </w:p>
    <w:p>
      <w:pPr>
        <w:spacing w:before="240"/>
        <w:jc w:val="center"/>
      </w:pPr>
      <w:r>
        <w:rPr>
          <w:rFonts w:ascii="Arial" w:cs="Arial" w:eastAsia="Arial" w:hAnsi="Arial"/>
          <w:color w:val="555555"/>
          <w:sz w:val="18"/>
          <w:szCs w:val="18"/>
        </w:rPr>
        <w:t xml:space="preserve">Édition vérifiable, où chaque chiffre ouvre sa page source : </w:t>
      </w:r>
      <w:hyperlink w:history="1" r:id="rIdj1do9drwizognsic2cmeh">
        <w:r>
          <w:rPr>
            <w:rStyle w:val="Hyperlink"/>
            <w:rFonts w:ascii="Arial" w:cs="Arial" w:eastAsia="Arial" w:hAnsi="Arial"/>
            <w:sz w:val="18"/>
            <w:szCs w:val="18"/>
          </w:rPr>
          <w:t xml:space="preserve">https://dataroom.is42.fr:8443/visualisation/rapport.html</w:t>
        </w:r>
      </w:hyperlink>
    </w:p>
    <w:p>
      <w:r>
        <w:br w:type="page"/>
      </w:r>
    </w:p>
    <w:p>
      <w:pPr>
        <w:pStyle w:val="Heading1"/>
        <w:spacing w:after="120" w:before="240"/>
      </w:pPr>
      <w:r>
        <w:rPr>
          <w:rFonts w:ascii="Arial" w:cs="Arial" w:eastAsia="Arial" w:hAnsi="Arial"/>
        </w:rPr>
        <w:t xml:space="preserve">Sommaire</w:t>
      </w:r>
    </w:p>
    <w:sdt>
      <w:sdtPr>
        <w:alias w:val="Sommaire"/>
      </w:sdtPr>
      <w:sdtContent>
        <w:p>
          <w:r>
            <w:fldChar w:fldCharType="begin" w:dirty="true"/>
            <w:instrText xml:space="preserve">TOC \h \o "1-2"</w:instrText>
            <w:fldChar w:fldCharType="separate"/>
          </w:r>
        </w:p>
        <w:p>
          <w:r>
            <w:fldChar w:fldCharType="end"/>
          </w:r>
        </w:p>
      </w:sdtContent>
    </w:sdt>
    <w:p>
      <w:r>
        <w:br w:type="page"/>
      </w:r>
    </w:p>
    <w:p>
      <w:pPr>
        <w:pStyle w:val="Heading1"/>
        <w:spacing w:after="120" w:before="240"/>
      </w:pPr>
      <w:r>
        <w:rPr>
          <w:rFonts w:ascii="Arial" w:cs="Arial" w:eastAsia="Arial" w:hAnsi="Arial"/>
        </w:rPr>
        <w:t xml:space="preserve">La réponse en une page</w:t>
      </w:r>
    </w:p>
    <w:p>
      <w:pPr>
        <w:spacing w:after="120" w:line="300"/>
      </w:pPr>
      <w:r>
        <w:rPr>
          <w:rFonts w:ascii="Arial" w:cs="Arial" w:eastAsia="Arial" w:hAnsi="Arial"/>
          <w:sz w:val="22"/>
          <w:szCs w:val="22"/>
        </w:rPr>
        <w:t xml:space="preserve">Veolia annonce des enveloppes nettes. Clean Earth en est sorti ; le programme de cessions de plus de 2 Md€ d'ici mi-2028 l'y ramène. Si ce programme est encaissé à temps, il reste fin 2027 environ 1,6 Md€ de marge sous 3x, soit une acquisition d'environ 2,3 Md€ au multiple de Clean Earth. Cette marge dépend d'abord du calendrier des cessions, de la croissance organique de 2027 et des tuck-ins. Elle disparaît si tout tourne mal en même temps, ou si l'on compte la moitié des hybrides en dette. Le seuil des agences (FFO / dette ajustée ≥ 18 % chez S&amp;P) est la contrainte de 2026 : 19,3 % dans le scénario central, dans l'attente de Moody's ; fin 2027 il laisse 4,3 Md€ et c'est le 3x qui mord. Le booster déchets dangereux tient son objectif de volume révisé, pas l'initial, et sa croissance est surtout achetée. Le passif environnemental de Clean Earth n'est pas encore visible dans les comptes.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200"/>
        <w:gridCol w:w="1600"/>
        <w:gridCol w:w="4226"/>
      </w:tblGrid>
      <w:tr>
        <w:trPr>
          <w:tblHeader/>
        </w:trPr>
        <w:tc>
          <w:tcPr>
            <w:tcW w:type="dxa" w:w="3200"/>
            <w:shd w:fill="E7E6E6" w:color="auto" w:val="clear"/>
            <w:tcMar>
              <w:top w:type="dxa" w:w="40"/>
              <w:left w:type="dxa" w:w="80"/>
              <w:bottom w:type="dxa" w:w="40"/>
              <w:right w:type="dxa" w:w="80"/>
            </w:tcMar>
          </w:tcPr>
          <w:p>
            <w:pPr>
              <w:spacing w:after="0"/>
              <w:jc w:val="left"/>
            </w:pPr>
            <w:r>
              <w:rPr>
                <w:rFonts w:ascii="Arial" w:cs="Arial" w:eastAsia="Arial" w:hAnsi="Arial"/>
                <w:b/>
                <w:bCs/>
                <w:sz w:val="18"/>
                <w:szCs w:val="18"/>
              </w:rPr>
              <w:t xml:space="preserve">Indicateur</w:t>
            </w:r>
          </w:p>
        </w:tc>
        <w:tc>
          <w:tcPr>
            <w:tcW w:type="dxa" w:w="1600"/>
            <w:shd w:fill="E7E6E6" w:color="auto" w:val="clear"/>
            <w:tcMar>
              <w:top w:type="dxa" w:w="40"/>
              <w:left w:type="dxa" w:w="80"/>
              <w:bottom w:type="dxa" w:w="40"/>
              <w:right w:type="dxa" w:w="80"/>
            </w:tcMar>
          </w:tcPr>
          <w:p>
            <w:pPr>
              <w:spacing w:after="0"/>
              <w:jc w:val="left"/>
            </w:pPr>
            <w:r>
              <w:rPr>
                <w:rFonts w:ascii="Arial" w:cs="Arial" w:eastAsia="Arial" w:hAnsi="Arial"/>
                <w:b/>
                <w:bCs/>
                <w:sz w:val="18"/>
                <w:szCs w:val="18"/>
              </w:rPr>
              <w:t xml:space="preserve">Valeur</w:t>
            </w:r>
          </w:p>
        </w:tc>
        <w:tc>
          <w:tcPr>
            <w:tcW w:type="dxa" w:w="4226"/>
            <w:shd w:fill="E7E6E6" w:color="auto" w:val="clear"/>
            <w:tcMar>
              <w:top w:type="dxa" w:w="40"/>
              <w:left w:type="dxa" w:w="80"/>
              <w:bottom w:type="dxa" w:w="40"/>
              <w:right w:type="dxa" w:w="80"/>
            </w:tcMar>
          </w:tcPr>
          <w:p>
            <w:pPr>
              <w:spacing w:after="0"/>
              <w:jc w:val="left"/>
            </w:pPr>
            <w:r>
              <w:rPr>
                <w:rFonts w:ascii="Arial" w:cs="Arial" w:eastAsia="Arial" w:hAnsi="Arial"/>
                <w:b/>
                <w:bCs/>
                <w:sz w:val="18"/>
                <w:szCs w:val="18"/>
              </w:rPr>
              <w:t xml:space="preserve">Ce qu'il faut en lire</w:t>
            </w:r>
          </w:p>
        </w:tc>
      </w:tr>
      <w:tr>
        <w:tc>
          <w:tcPr>
            <w:tcW w:type="dxa" w:w="32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Levier fin 2026</w:t>
            </w:r>
          </w:p>
        </w:tc>
        <w:tc>
          <w:tcPr>
            <w:tcW w:type="dxa" w:w="16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3,02x</w:t>
            </w:r>
          </w:p>
        </w:tc>
        <w:tc>
          <w:tcPr>
            <w:tcW w:type="dxa" w:w="42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guidance : égal ou légèrement au-dessus de 3x</w:t>
            </w:r>
          </w:p>
        </w:tc>
      </w:tr>
      <w:tr>
        <w:tc>
          <w:tcPr>
            <w:tcW w:type="dxa" w:w="32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Levier fin 2027</w:t>
            </w:r>
          </w:p>
        </w:tc>
        <w:tc>
          <w:tcPr>
            <w:tcW w:type="dxa" w:w="16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2,80x</w:t>
            </w:r>
          </w:p>
        </w:tc>
        <w:tc>
          <w:tcPr>
            <w:tcW w:type="dxa" w:w="42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engagement : au plus 3x</w:t>
            </w:r>
          </w:p>
        </w:tc>
      </w:tr>
      <w:tr>
        <w:tc>
          <w:tcPr>
            <w:tcW w:type="dxa" w:w="32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Marge sous 3x fin 2027</w:t>
            </w:r>
          </w:p>
        </w:tc>
        <w:tc>
          <w:tcPr>
            <w:tcW w:type="dxa" w:w="16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1,57 Md€</w:t>
            </w:r>
          </w:p>
        </w:tc>
        <w:tc>
          <w:tcPr>
            <w:tcW w:type="dxa" w:w="42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défavorable −0,53 · favorable 3,49</w:t>
            </w:r>
          </w:p>
        </w:tc>
      </w:tr>
      <w:tr>
        <w:tc>
          <w:tcPr>
            <w:tcW w:type="dxa" w:w="32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Marge sous 18 % S&amp;P fin 2027</w:t>
            </w:r>
          </w:p>
        </w:tc>
        <w:tc>
          <w:tcPr>
            <w:tcW w:type="dxa" w:w="16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4,33 Md€</w:t>
            </w:r>
          </w:p>
        </w:tc>
        <w:tc>
          <w:tcPr>
            <w:tcW w:type="dxa" w:w="42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FFO / dette ajustée 19,3 % en 2026, 20,8 % en 2027</w:t>
            </w:r>
          </w:p>
        </w:tc>
      </w:tr>
      <w:tr>
        <w:tc>
          <w:tcPr>
            <w:tcW w:type="dxa" w:w="32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Acquisition max. fin 2027</w:t>
            </w:r>
          </w:p>
        </w:tc>
        <w:tc>
          <w:tcPr>
            <w:tcW w:type="dxa" w:w="16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2,26 Md€</w:t>
            </w:r>
          </w:p>
        </w:tc>
        <w:tc>
          <w:tcPr>
            <w:tcW w:type="dxa" w:w="42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sous la contrainte qui mord : Veolia</w:t>
            </w:r>
          </w:p>
        </w:tc>
      </w:tr>
      <w:tr>
        <w:tc>
          <w:tcPr>
            <w:tcW w:type="dxa" w:w="32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Sorties nettes depuis 2024</w:t>
            </w:r>
          </w:p>
        </w:tc>
        <w:tc>
          <w:tcPr>
            <w:tcW w:type="dxa" w:w="16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4,77 Md€</w:t>
            </w:r>
          </w:p>
        </w:tc>
        <w:tc>
          <w:tcPr>
            <w:tcW w:type="dxa" w:w="42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enveloppe boosters annoncée : 4 Md€, nets</w:t>
            </w:r>
          </w:p>
        </w:tc>
      </w:tr>
    </w:tbl>
    <w:p>
      <w:pPr>
        <w:shd w:fill="FFF2A8" w:color="auto" w:val="clear"/>
        <w:spacing w:after="160" w:before="160"/>
      </w:pPr>
      <w:r>
        <w:rPr>
          <w:rFonts w:ascii="Arial" w:cs="Arial" w:eastAsia="Arial" w:hAnsi="Arial"/>
          <w:i/>
          <w:iCs/>
          <w:sz w:val="22"/>
          <w:szCs w:val="22"/>
        </w:rPr>
        <w:t xml:space="preserve">[À rédiger] 08_Livrables/texte/recommandation.md : ce que nous recommandons, ce que cela coûte et à qui, ce qui nous ferait changer d'avis.</w:t>
      </w:r>
    </w:p>
    <w:p>
      <w:r>
        <w:br w:type="page"/>
      </w:r>
    </w:p>
    <w:p>
      <w:pPr>
        <w:pStyle w:val="Heading1"/>
        <w:spacing w:after="120" w:before="240"/>
      </w:pPr>
      <w:r>
        <w:rPr>
          <w:rFonts w:ascii="Arial" w:cs="Arial" w:eastAsia="Arial" w:hAnsi="Arial"/>
        </w:rPr>
        <w:t xml:space="preserve">Les quatre questions de recherche de Veolia, et où le rapport y répond</w:t>
      </w:r>
    </w:p>
    <w:p>
      <w:pPr>
        <w:pStyle w:val="ListParagraph"/>
        <w:numPr>
          <w:ilvl w:val="0"/>
          <w:numId w:val="2"/>
        </w:numPr>
        <w:spacing w:after="80"/>
      </w:pPr>
      <w:r>
        <w:rPr>
          <w:rFonts w:ascii="Arial" w:cs="Arial" w:eastAsia="Arial" w:hAnsi="Arial"/>
          <w:sz w:val="22"/>
          <w:szCs w:val="22"/>
        </w:rPr>
        <w:t xml:space="preserve">Écart stratégique entre la trajectoire et 2027 (EBITDA, croissance, KPI ESG) ; segments et géographies qui sur- ou sous-performent → rôles 2 et 4.</w:t>
      </w:r>
    </w:p>
    <w:p>
      <w:pPr>
        <w:pStyle w:val="ListParagraph"/>
        <w:numPr>
          <w:ilvl w:val="0"/>
          <w:numId w:val="2"/>
        </w:numPr>
        <w:spacing w:after="80"/>
      </w:pPr>
      <w:r>
        <w:rPr>
          <w:rFonts w:ascii="Arial" w:cs="Arial" w:eastAsia="Arial" w:hAnsi="Arial"/>
          <w:sz w:val="22"/>
          <w:szCs w:val="22"/>
        </w:rPr>
        <w:t xml:space="preserve">Benchmark et opportunités : qui contribue le plus à l'ESG dans chaque booster ; multiples et synergies des deals récents → rôles 4 et 6.</w:t>
      </w:r>
    </w:p>
    <w:p>
      <w:pPr>
        <w:pStyle w:val="ListParagraph"/>
        <w:numPr>
          <w:ilvl w:val="0"/>
          <w:numId w:val="2"/>
        </w:numPr>
        <w:spacing w:after="80"/>
      </w:pPr>
      <w:r>
        <w:rPr>
          <w:rFonts w:ascii="Arial" w:cs="Arial" w:eastAsia="Arial" w:hAnsi="Arial"/>
          <w:sz w:val="22"/>
          <w:szCs w:val="22"/>
        </w:rPr>
        <w:t xml:space="preserve">Allocation du capital restant : capex organique ou croissance externe, boosters ou strongholds, critère d'impact ESG par euro → rôles 1, 3 et 6. « Tout le reste s'y alimente. »</w:t>
      </w:r>
    </w:p>
    <w:p>
      <w:pPr>
        <w:pStyle w:val="ListParagraph"/>
        <w:numPr>
          <w:ilvl w:val="0"/>
          <w:numId w:val="2"/>
        </w:numPr>
        <w:spacing w:after="80"/>
      </w:pPr>
      <w:r>
        <w:rPr>
          <w:rFonts w:ascii="Arial" w:cs="Arial" w:eastAsia="Arial" w:hAnsi="Arial"/>
          <w:sz w:val="22"/>
          <w:szCs w:val="22"/>
        </w:rPr>
        <w:t xml:space="preserve">Orientations : géographies, technologies, synergies (« 398 M€ en 2024 → objectif 530 M€ ») → rôle 6. Piège repéré : les 398 M€ de 2024 sont des gains d'efficacité ; les synergies Suez cumulées étaient de 435 M€ fin 2024, objectif relevé à 530 M€, réalisé 534 M€ fin 2025. À dire, pas à corriger en silence.</w:t>
      </w:r>
    </w:p>
    <w:p>
      <w:pPr>
        <w:pStyle w:val="Heading2"/>
        <w:spacing w:after="120" w:before="240"/>
      </w:pPr>
      <w:r>
        <w:rPr>
          <w:rFonts w:ascii="Arial" w:cs="Arial" w:eastAsia="Arial" w:hAnsi="Arial"/>
        </w:rPr>
        <w:t xml:space="preserve">Le chantier « capacité » en cinq blocs</w:t>
      </w:r>
    </w:p>
    <w:p>
      <w:pPr>
        <w:pStyle w:val="ListParagraph"/>
        <w:numPr>
          <w:ilvl w:val="0"/>
          <w:numId w:val="3"/>
        </w:numPr>
        <w:spacing w:after="80"/>
      </w:pPr>
      <w:r>
        <w:rPr>
          <w:rFonts w:ascii="Arial" w:cs="Arial" w:eastAsia="Arial" w:hAnsi="Arial"/>
          <w:sz w:val="22"/>
          <w:szCs w:val="22"/>
        </w:rPr>
        <w:t xml:space="preserve">Reconstituer ce qui a été dépensé, et dire si les 4 Md€ étaient bruts ou nets → rôle 1, Cessions §D.</w:t>
      </w:r>
    </w:p>
    <w:p>
      <w:pPr>
        <w:pStyle w:val="ListParagraph"/>
        <w:numPr>
          <w:ilvl w:val="0"/>
          <w:numId w:val="3"/>
        </w:numPr>
        <w:spacing w:after="80"/>
      </w:pPr>
      <w:r>
        <w:rPr>
          <w:rFonts w:ascii="Arial" w:cs="Arial" w:eastAsia="Arial" w:hAnsi="Arial"/>
          <w:sz w:val="22"/>
          <w:szCs w:val="22"/>
        </w:rPr>
        <w:t xml:space="preserve">La position de départ : dette, EBITDA, profil d'échéances, définition du levier propre à Veolia → rôle 2, Levier.</w:t>
      </w:r>
    </w:p>
    <w:p>
      <w:pPr>
        <w:pStyle w:val="ListParagraph"/>
        <w:numPr>
          <w:ilvl w:val="0"/>
          <w:numId w:val="3"/>
        </w:numPr>
        <w:spacing w:after="80"/>
      </w:pPr>
      <w:r>
        <w:rPr>
          <w:rFonts w:ascii="Arial" w:cs="Arial" w:eastAsia="Arial" w:hAnsi="Arial"/>
          <w:sz w:val="22"/>
          <w:szCs w:val="22"/>
        </w:rPr>
        <w:t xml:space="preserve">Traduire l'engagement en nombre, et lire les seuils de dégradation des agences, « la vraie limite » → rôle 2, Levier §B'.</w:t>
      </w:r>
    </w:p>
    <w:p>
      <w:pPr>
        <w:pStyle w:val="ListParagraph"/>
        <w:numPr>
          <w:ilvl w:val="0"/>
          <w:numId w:val="3"/>
        </w:numPr>
        <w:spacing w:after="80"/>
      </w:pPr>
      <w:r>
        <w:rPr>
          <w:rFonts w:ascii="Arial" w:cs="Arial" w:eastAsia="Arial" w:hAnsi="Arial"/>
          <w:sz w:val="22"/>
          <w:szCs w:val="22"/>
        </w:rPr>
        <w:t xml:space="preserve">Les trois sources de capacité : cash-flow libre, cessions, marge de levier → rôle 3, Trajectoire.</w:t>
      </w:r>
    </w:p>
    <w:p>
      <w:pPr>
        <w:pStyle w:val="ListParagraph"/>
        <w:numPr>
          <w:ilvl w:val="0"/>
          <w:numId w:val="3"/>
        </w:numPr>
        <w:spacing w:after="80"/>
      </w:pPr>
      <w:r>
        <w:rPr>
          <w:rFonts w:ascii="Arial" w:cs="Arial" w:eastAsia="Arial" w:hAnsi="Arial"/>
          <w:sz w:val="22"/>
          <w:szCs w:val="22"/>
        </w:rPr>
        <w:t xml:space="preserve">La sensibilité : prouver quel paramètre bouge le plus la réponse → rôle 3, Sensibilité.</w:t>
      </w:r>
    </w:p>
    <w:p>
      <w:r>
        <w:br w:type="page"/>
      </w:r>
    </w:p>
    <w:p>
      <w:pPr>
        <w:pStyle w:val="Heading1"/>
        <w:spacing w:after="120" w:before="240"/>
      </w:pPr>
      <w:r>
        <w:rPr>
          <w:rFonts w:ascii="Arial" w:cs="Arial" w:eastAsia="Arial" w:hAnsi="Arial"/>
        </w:rPr>
        <w:t xml:space="preserve">Rôle 1 — Périmètre et sources</w:t>
      </w:r>
    </w:p>
    <w:p>
      <w:pPr>
        <w:spacing w:after="120" w:line="300"/>
      </w:pPr>
      <w:r>
        <w:rPr>
          <w:rFonts w:ascii="Arial" w:cs="Arial" w:eastAsia="Arial" w:hAnsi="Arial"/>
          <w:i/>
          <w:iCs/>
          <w:color w:val="555555"/>
          <w:sz w:val="22"/>
          <w:szCs w:val="22"/>
        </w:rPr>
        <w:t xml:space="preserve">Le registre, et si l'enveloppe annoncée était brute ou nette des cessions.</w:t>
      </w:r>
    </w:p>
    <w:p>
      <w:pPr>
        <w:shd w:fill="FFF2A8" w:color="auto" w:val="clear"/>
        <w:spacing w:after="160" w:before="160"/>
      </w:pPr>
      <w:r>
        <w:rPr>
          <w:rFonts w:ascii="Arial" w:cs="Arial" w:eastAsia="Arial" w:hAnsi="Arial"/>
          <w:i/>
          <w:iCs/>
          <w:sz w:val="22"/>
          <w:szCs w:val="22"/>
        </w:rPr>
        <w:t xml:space="preserve">[Section signée par : ______ ] — dans le classeur : Entrées, Cessions §A et §B</w:t>
      </w:r>
    </w:p>
    <w:p>
      <w:pPr>
        <w:pStyle w:val="Heading2"/>
        <w:spacing w:after="120" w:before="240"/>
      </w:pPr>
      <w:r>
        <w:rPr>
          <w:rFonts w:ascii="Arial" w:cs="Arial" w:eastAsia="Arial" w:hAnsi="Arial"/>
        </w:rPr>
        <w:t xml:space="preserve">Réponse (générée depuis le classeur, à réécrire)</w:t>
      </w:r>
    </w:p>
    <w:p>
      <w:pPr>
        <w:spacing w:after="120" w:line="300"/>
      </w:pPr>
      <w:r>
        <w:rPr>
          <w:rFonts w:ascii="Arial" w:cs="Arial" w:eastAsia="Arial" w:hAnsi="Arial"/>
          <w:sz w:val="22"/>
          <w:szCs w:val="22"/>
        </w:rPr>
        <w:t xml:space="preserve">Nette. GreenUp annonce environ 0,5 Md€ par an de rotation nette d'actifs : 0,5 à 1,0 Md€ de tuck-ins, moins environ 0,5 Md€ de cessions. Clean Earth (2,78 Md€ de dette en plus) vaut 5,6 années de cette enveloppe ; c'est le programme de cessions de plus de 2 Md€ qui le ramène dedans. Les 4 Md€ d'investissements de croissance dans les boosters sont eux aussi annoncés nets (GreenUp p.44) : au 30 juin 2026, les sorties nettes d'acquisitions depuis 2024 atteignent 4,77 Md€, soit 0,77 Md€ de plus.</w:t>
      </w:r>
    </w:p>
    <w:p>
      <w:pPr>
        <w:pStyle w:val="Heading2"/>
        <w:spacing w:after="120" w:before="240"/>
      </w:pPr>
      <w:r>
        <w:rPr>
          <w:rFonts w:ascii="Arial" w:cs="Arial" w:eastAsia="Arial" w:hAnsi="Arial"/>
        </w:rPr>
        <w:t xml:space="preserve">Raisonnement (généré)</w:t>
      </w:r>
    </w:p>
    <w:p>
      <w:pPr>
        <w:pStyle w:val="ListParagraph"/>
        <w:numPr>
          <w:ilvl w:val="0"/>
          <w:numId w:val="4"/>
        </w:numPr>
        <w:spacing w:after="80"/>
      </w:pPr>
      <w:r>
        <w:rPr>
          <w:rFonts w:ascii="Arial" w:cs="Arial" w:eastAsia="Arial" w:hAnsi="Arial"/>
          <w:sz w:val="22"/>
          <w:szCs w:val="22"/>
        </w:rPr>
        <w:t xml:space="preserve">Lire la diapositive d'allocation du capital de GreenUp (p.63) : chaque colonne est exprimée en net.</w:t>
      </w:r>
    </w:p>
    <w:p>
      <w:pPr>
        <w:pStyle w:val="ListParagraph"/>
        <w:numPr>
          <w:ilvl w:val="0"/>
          <w:numId w:val="4"/>
        </w:numPr>
        <w:spacing w:after="80"/>
      </w:pPr>
      <w:r>
        <w:rPr>
          <w:rFonts w:ascii="Arial" w:cs="Arial" w:eastAsia="Arial" w:hAnsi="Arial"/>
          <w:sz w:val="22"/>
          <w:szCs w:val="22"/>
        </w:rPr>
        <w:t xml:space="preserve">Recalculer les deux enveloppes : 1,9 + 1,5 − 0,3 = 3,1 Md€ d'investissements nets ; 1,0 − 0,5 = 0,5 Md€ de rotation nette. L'annonce correspond au haut de la fourchette de tuck-ins.</w:t>
      </w:r>
    </w:p>
    <w:p>
      <w:pPr>
        <w:pStyle w:val="ListParagraph"/>
        <w:numPr>
          <w:ilvl w:val="0"/>
          <w:numId w:val="4"/>
        </w:numPr>
        <w:spacing w:after="80"/>
      </w:pPr>
      <w:r>
        <w:rPr>
          <w:rFonts w:ascii="Arial" w:cs="Arial" w:eastAsia="Arial" w:hAnsi="Arial"/>
          <w:sz w:val="22"/>
          <w:szCs w:val="22"/>
        </w:rPr>
        <w:t xml:space="preserve">Ne pas confondre avec les « plus de 8 Md€ de rotation d'actifs en 4 ans » de la présentation du S1 2026 : ce chiffre additionne achats et ventes, il est brut.</w:t>
      </w:r>
    </w:p>
    <w:p>
      <w:pPr>
        <w:pStyle w:val="ListParagraph"/>
        <w:numPr>
          <w:ilvl w:val="0"/>
          <w:numId w:val="4"/>
        </w:numPr>
        <w:spacing w:after="80"/>
      </w:pPr>
      <w:r>
        <w:rPr>
          <w:rFonts w:ascii="Arial" w:cs="Arial" w:eastAsia="Arial" w:hAnsi="Arial"/>
          <w:sz w:val="22"/>
          <w:szCs w:val="22"/>
        </w:rPr>
        <w:t xml:space="preserve">Placer Clean Earth : 5,6 années d'enveloppe nette en une opération. Net du programme de cessions, il en reste 0,78 Md€, soit 1,6 année.</w:t>
      </w:r>
    </w:p>
    <w:p>
      <w:pPr>
        <w:pStyle w:val="ListParagraph"/>
        <w:numPr>
          <w:ilvl w:val="0"/>
          <w:numId w:val="4"/>
        </w:numPr>
        <w:spacing w:after="80"/>
      </w:pPr>
      <w:r>
        <w:rPr>
          <w:rFonts w:ascii="Arial" w:cs="Arial" w:eastAsia="Arial" w:hAnsi="Arial"/>
          <w:sz w:val="22"/>
          <w:szCs w:val="22"/>
        </w:rPr>
        <w:t xml:space="preserve">Reconstituer ce qui est sorti : 0,40 Md€ rentrés en 2024 (cessions SADE, RGS, Lydec, Haikou), 2,30 Md€ sortis en 2025 (minoritaires WTS, déchets dangereux), 2,87 Md€ au S1 2026 (Clean Earth). Cumul net : 4,77 Md€, contre une enveloppe boosters de 4 Md€ sur quatre ans.</w:t>
      </w:r>
    </w:p>
    <w:p>
      <w:pPr>
        <w:pStyle w:val="ListParagraph"/>
        <w:numPr>
          <w:ilvl w:val="0"/>
          <w:numId w:val="4"/>
        </w:numPr>
        <w:spacing w:after="80"/>
      </w:pPr>
      <w:r>
        <w:rPr>
          <w:rFonts w:ascii="Arial" w:cs="Arial" w:eastAsia="Arial" w:hAnsi="Arial"/>
          <w:sz w:val="22"/>
          <w:szCs w:val="22"/>
        </w:rPr>
        <w:t xml:space="preserve">Le registre : chaque chiffre a son fichier, sa page, son URL et sa date de consultation, et un contrôle automatique vérifie que la valeur figure bien sur la page citée.</w:t>
      </w:r>
    </w:p>
    <w:p>
      <w:pPr>
        <w:shd w:fill="FFF2A8" w:color="auto" w:val="clear"/>
        <w:spacing w:after="160" w:before="160"/>
      </w:pPr>
      <w:r>
        <w:rPr>
          <w:rFonts w:ascii="Arial" w:cs="Arial" w:eastAsia="Arial" w:hAnsi="Arial"/>
          <w:i/>
          <w:iCs/>
          <w:sz w:val="22"/>
          <w:szCs w:val="22"/>
        </w:rPr>
        <w:t xml:space="preserve">[À rédiger] 08_Livrables/texte/role-1.md : 6 à 9 pages, chaque chiffre cité par son jeton [F…] du registre.</w:t>
      </w:r>
    </w:p>
    <w:p>
      <w:pPr>
        <w:pStyle w:val="Heading2"/>
        <w:spacing w:after="120" w:before="240"/>
      </w:pPr>
      <w:r>
        <w:rPr>
          <w:rFonts w:ascii="Arial" w:cs="Arial" w:eastAsia="Arial" w:hAnsi="Arial"/>
        </w:rPr>
        <w:t xml:space="preserve">Chiffres cités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0"/>
        <w:gridCol w:w="3000"/>
        <w:gridCol w:w="1000"/>
        <w:gridCol w:w="1300"/>
        <w:gridCol w:w="2126"/>
        <w:gridCol w:w="700"/>
      </w:tblGrid>
      <w:tr>
        <w:trPr>
          <w:tblHeader/>
        </w:trPr>
        <w:tc>
          <w:tcPr>
            <w:tcW w:type="dxa" w:w="900"/>
            <w:shd w:fill="E7E6E6" w:color="auto" w:val="clear"/>
            <w:tcMar>
              <w:top w:type="dxa" w:w="40"/>
              <w:left w:type="dxa" w:w="80"/>
              <w:bottom w:type="dxa" w:w="40"/>
              <w:right w:type="dxa" w:w="80"/>
            </w:tcMar>
          </w:tcPr>
          <w:p>
            <w:pPr>
              <w:spacing w:after="0"/>
              <w:jc w:val="left"/>
            </w:pPr>
            <w:r>
              <w:rPr>
                <w:rFonts w:ascii="Arial" w:cs="Arial" w:eastAsia="Arial" w:hAnsi="Arial"/>
                <w:b/>
                <w:bCs/>
                <w:sz w:val="18"/>
                <w:szCs w:val="18"/>
              </w:rPr>
              <w:t xml:space="preserve">ID</w:t>
            </w:r>
          </w:p>
        </w:tc>
        <w:tc>
          <w:tcPr>
            <w:tcW w:type="dxa" w:w="3000"/>
            <w:shd w:fill="E7E6E6" w:color="auto" w:val="clear"/>
            <w:tcMar>
              <w:top w:type="dxa" w:w="40"/>
              <w:left w:type="dxa" w:w="80"/>
              <w:bottom w:type="dxa" w:w="40"/>
              <w:right w:type="dxa" w:w="80"/>
            </w:tcMar>
          </w:tcPr>
          <w:p>
            <w:pPr>
              <w:spacing w:after="0"/>
              <w:jc w:val="left"/>
            </w:pPr>
            <w:r>
              <w:rPr>
                <w:rFonts w:ascii="Arial" w:cs="Arial" w:eastAsia="Arial" w:hAnsi="Arial"/>
                <w:b/>
                <w:bCs/>
                <w:sz w:val="18"/>
                <w:szCs w:val="18"/>
              </w:rPr>
              <w:t xml:space="preserve">Chiffre</w:t>
            </w:r>
          </w:p>
        </w:tc>
        <w:tc>
          <w:tcPr>
            <w:tcW w:type="dxa" w:w="1000"/>
            <w:shd w:fill="E7E6E6" w:color="auto" w:val="clear"/>
            <w:tcMar>
              <w:top w:type="dxa" w:w="40"/>
              <w:left w:type="dxa" w:w="80"/>
              <w:bottom w:type="dxa" w:w="40"/>
              <w:right w:type="dxa" w:w="80"/>
            </w:tcMar>
          </w:tcPr>
          <w:p>
            <w:pPr>
              <w:spacing w:after="0"/>
              <w:jc w:val="left"/>
            </w:pPr>
            <w:r>
              <w:rPr>
                <w:rFonts w:ascii="Arial" w:cs="Arial" w:eastAsia="Arial" w:hAnsi="Arial"/>
                <w:b/>
                <w:bCs/>
                <w:sz w:val="18"/>
                <w:szCs w:val="18"/>
              </w:rPr>
              <w:t xml:space="preserve">Période</w:t>
            </w:r>
          </w:p>
        </w:tc>
        <w:tc>
          <w:tcPr>
            <w:tcW w:type="dxa" w:w="1300"/>
            <w:shd w:fill="E7E6E6" w:color="auto" w:val="clear"/>
            <w:tcMar>
              <w:top w:type="dxa" w:w="40"/>
              <w:left w:type="dxa" w:w="80"/>
              <w:bottom w:type="dxa" w:w="40"/>
              <w:right w:type="dxa" w:w="80"/>
            </w:tcMar>
          </w:tcPr>
          <w:p>
            <w:pPr>
              <w:spacing w:after="0"/>
              <w:jc w:val="left"/>
            </w:pPr>
            <w:r>
              <w:rPr>
                <w:rFonts w:ascii="Arial" w:cs="Arial" w:eastAsia="Arial" w:hAnsi="Arial"/>
                <w:b/>
                <w:bCs/>
                <w:sz w:val="18"/>
                <w:szCs w:val="18"/>
              </w:rPr>
              <w:t xml:space="preserve">Valeur</w:t>
            </w:r>
          </w:p>
        </w:tc>
        <w:tc>
          <w:tcPr>
            <w:tcW w:type="dxa" w:w="2126"/>
            <w:shd w:fill="E7E6E6" w:color="auto" w:val="clear"/>
            <w:tcMar>
              <w:top w:type="dxa" w:w="40"/>
              <w:left w:type="dxa" w:w="80"/>
              <w:bottom w:type="dxa" w:w="40"/>
              <w:right w:type="dxa" w:w="80"/>
            </w:tcMar>
          </w:tcPr>
          <w:p>
            <w:pPr>
              <w:spacing w:after="0"/>
              <w:jc w:val="left"/>
            </w:pPr>
            <w:r>
              <w:rPr>
                <w:rFonts w:ascii="Arial" w:cs="Arial" w:eastAsia="Arial" w:hAnsi="Arial"/>
                <w:b/>
                <w:bCs/>
                <w:sz w:val="18"/>
                <w:szCs w:val="18"/>
              </w:rPr>
              <w:t xml:space="preserve">Source (fichier, page)</w:t>
            </w:r>
          </w:p>
        </w:tc>
        <w:tc>
          <w:tcPr>
            <w:tcW w:type="dxa" w:w="700"/>
            <w:shd w:fill="E7E6E6" w:color="auto" w:val="clear"/>
            <w:tcMar>
              <w:top w:type="dxa" w:w="40"/>
              <w:left w:type="dxa" w:w="80"/>
              <w:bottom w:type="dxa" w:w="40"/>
              <w:right w:type="dxa" w:w="80"/>
            </w:tcMar>
          </w:tcPr>
          <w:p>
            <w:pPr>
              <w:spacing w:after="0"/>
              <w:jc w:val="left"/>
            </w:pPr>
            <w:r>
              <w:rPr>
                <w:rFonts w:ascii="Arial" w:cs="Arial" w:eastAsia="Arial" w:hAnsi="Arial"/>
                <w:b/>
                <w:bCs/>
                <w:sz w:val="18"/>
                <w:szCs w:val="18"/>
              </w:rPr>
              <w:t xml:space="preserve">Relu par</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F129</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GreenUp : investissements nets de croissance, boosters</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2024-2027</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4 Md€</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en_master_greenup_strategy-day_v270324.pdf, p. 44</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F130</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GreenUp : strongholds</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2024-2027</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2 Md€</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en_master_greenup_strategy-day_v270324.pdf, p. 44</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F138</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Investissements financiers nets des cessions (entrée)</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FY2024</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397 M€</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pr-2024-annual-results-veolia.pdf, p. 9</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F64</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Investissements financiers nets des cessions</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−2 301 M€</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annual-resultats-2025.pdf, p. 14</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F75</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Investissements financiers nets des cessions</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S1 2026</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−2 869 M€</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veolia_finance_amendment_urd_2025.pdf, p. 25</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calcul</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Sorties nettes cumulées 2024 → 30/06/2026</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4,77 Md EUR</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somme des trois ponts, signe inversé</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calcul</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 face aux 4 Md€ de l'enveloppe boosters</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0,77 Md EUR</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positif : enveloppe nette dépassée</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F131</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Rotation déjà réalisée selon Veolia (brut)</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2024-2025e</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4 Md€</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veolia_clean_earth_investor_presentation.pdf, p. 17</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F133</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Rotation totale prévue (brut)</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2024-2028</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8,5 Md€</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veolia_clean_earth_investor_presentation.pdf, p. 17</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F134</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Part des acquisitions dans les boosters</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2024-2025e</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90 %</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veolia_clean_earth_investor_presentation.pdf, p. 17</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F135</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Part des acquisitions hors d'Europe</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2024-2025e</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80 %</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veolia_clean_earth_investor_presentation.pdf, p. 17</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Rotation nette d'actifs annoncée</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2024-2027</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0,5 Md€/an</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en_master_greenup_strategy-day_v270324.pdf, p. 63</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F5</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Tuck-ins, bas de fourchette</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2024-2027</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0,5 Md€</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en_master_greenup_strategy-day_v270324.pdf, p. 63</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F21</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Tuck-ins, haut de fourchette</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2024-2027</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1,0 Md€</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en_master_greenup_strategy-day_v270324.pdf, p. 63</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F18</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Cessions d'actifs non stratégiques</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2024-2027</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0,5 Md€</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en_master_greenup_strategy-day_v270324.pdf, p. 63</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calcul</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Rotation nette implicite (haut − cessions)</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0,5 Md EUR</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recalcul : égale l'annonce</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F7</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Investissements nets annoncés</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2024-2027</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3,1 Md€/an</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en_master_greenup_strategy-day_v270324.pdf, p. 63</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F90</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dont maintenance</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2024-2027</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1,9 Md€/an</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en_master_greenup_strategy-day_v270324.pdf, p. 63</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F91</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dont croissance sur contrats</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2024-2027</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1,5 Md€/an</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en_master_greenup_strategy-day_v270324.pdf, p. 63</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F92</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moins cessions industrielles (au plus)</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2024-2027</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0,3 Md€/an</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en_master_greenup_strategy-day_v270324.pdf, p. 63</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F32</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Rotation d'actifs sur 4 ans (brut)</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2024-2027</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8 Md€</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veolia_finance_presentation_h1_2026_results.pdf, p. 4</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F76</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Clean Earth : effet sur la dette</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S1 2026</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−2 778 M€</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veolia_finance_amendment_urd_2025.pdf, p. 25</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F25</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Programme de cessions (au moins)</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2026-2028</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2 Md€</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veolia-amendement-deu-2025-s1-2026.pdf, p. 29</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calcul</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Clean Earth net du programme</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0,78 Md EUR</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1,6 année d'enveloppe nette</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bl>
    <w:p>
      <w:pPr>
        <w:pStyle w:val="Heading2"/>
        <w:spacing w:after="120" w:before="240"/>
      </w:pPr>
      <w:r>
        <w:rPr>
          <w:rFonts w:ascii="Arial" w:cs="Arial" w:eastAsia="Arial" w:hAnsi="Arial"/>
        </w:rPr>
        <w:t xml:space="preserve">Ce que nous n'avons pas pu établir</w:t>
      </w:r>
    </w:p>
    <w:p>
      <w:pPr>
        <w:pStyle w:val="ListParagraph"/>
        <w:numPr>
          <w:ilvl w:val="0"/>
          <w:numId w:val="5"/>
        </w:numPr>
        <w:spacing w:after="80"/>
      </w:pPr>
      <w:r>
        <w:rPr>
          <w:rFonts w:ascii="Arial" w:cs="Arial" w:eastAsia="Arial" w:hAnsi="Arial"/>
          <w:sz w:val="22"/>
          <w:szCs w:val="22"/>
        </w:rPr>
        <w:t xml:space="preserve">GreenUp ne dit pas si la fourchette de tuck-ins est annuelle ; la colonne l'est (« / year »). À formuler prudemment.</w:t>
      </w:r>
    </w:p>
    <w:p>
      <w:pPr>
        <w:pStyle w:val="ListParagraph"/>
        <w:numPr>
          <w:ilvl w:val="0"/>
          <w:numId w:val="5"/>
        </w:numPr>
        <w:spacing w:after="80"/>
      </w:pPr>
      <w:r>
        <w:rPr>
          <w:rFonts w:ascii="Arial" w:cs="Arial" w:eastAsia="Arial" w:hAnsi="Arial"/>
          <w:sz w:val="22"/>
          <w:szCs w:val="22"/>
        </w:rPr>
        <w:t xml:space="preserve">« Plus de 2 Md€ » est un plancher : un programme plus gros changerait la lecture.</w:t>
      </w:r>
    </w:p>
    <w:p>
      <w:pPr>
        <w:pStyle w:val="ListParagraph"/>
        <w:numPr>
          <w:ilvl w:val="0"/>
          <w:numId w:val="5"/>
        </w:numPr>
        <w:spacing w:after="80"/>
      </w:pPr>
      <w:r>
        <w:rPr>
          <w:rFonts w:ascii="Arial" w:cs="Arial" w:eastAsia="Arial" w:hAnsi="Arial"/>
          <w:sz w:val="22"/>
          <w:szCs w:val="22"/>
        </w:rPr>
        <w:t xml:space="preserve">Aucun chiffre ni aucun deal n'a encore été relu par un deuxième membre du groupe.</w:t>
      </w:r>
    </w:p>
    <w:p>
      <w:pPr>
        <w:pStyle w:val="Heading2"/>
        <w:spacing w:after="120" w:before="240"/>
      </w:pPr>
      <w:r>
        <w:rPr>
          <w:rFonts w:ascii="Arial" w:cs="Arial" w:eastAsia="Arial" w:hAnsi="Arial"/>
        </w:rPr>
        <w:t xml:space="preserve">Questions probables du jury</w:t>
      </w:r>
    </w:p>
    <w:p>
      <w:pPr>
        <w:spacing w:after="120" w:line="300"/>
      </w:pPr>
      <w:r>
        <w:rPr>
          <w:rFonts w:ascii="Arial" w:cs="Arial" w:eastAsia="Arial" w:hAnsi="Arial"/>
          <w:b/>
          <w:bCs/>
          <w:sz w:val="22"/>
          <w:szCs w:val="22"/>
        </w:rPr>
        <w:t xml:space="preserve">Pourquoi dites-vous que l'enveloppe est nette ?</w:t>
      </w:r>
    </w:p>
    <w:p>
      <w:pPr>
        <w:spacing w:after="120" w:line="300"/>
      </w:pPr>
      <w:r>
        <w:rPr>
          <w:rFonts w:ascii="Arial" w:cs="Arial" w:eastAsia="Arial" w:hAnsi="Arial"/>
          <w:sz w:val="22"/>
          <w:szCs w:val="22"/>
        </w:rPr>
        <w:t xml:space="preserve">Parce que la diapositive la présente comme une rotation nette et que les composantes publiées se recalculent : 1,0 Md€ de tuck-ins moins 0,5 Md€ de cessions donnent les 0,5 Md€ annoncés. Veolia applique la même convention aux investissements industriels.</w:t>
      </w:r>
    </w:p>
    <w:p>
      <w:pPr>
        <w:spacing w:after="120" w:line="300"/>
      </w:pPr>
      <w:r>
        <w:rPr>
          <w:rFonts w:ascii="Arial" w:cs="Arial" w:eastAsia="Arial" w:hAnsi="Arial"/>
          <w:b/>
          <w:bCs/>
          <w:sz w:val="22"/>
          <w:szCs w:val="22"/>
        </w:rPr>
        <w:t xml:space="preserve">Les 4 Md€ annoncés étaient-ils bruts ou nets des cessions ?</w:t>
      </w:r>
    </w:p>
    <w:p>
      <w:pPr>
        <w:spacing w:after="120" w:line="300"/>
      </w:pPr>
      <w:r>
        <w:rPr>
          <w:rFonts w:ascii="Arial" w:cs="Arial" w:eastAsia="Arial" w:hAnsi="Arial"/>
          <w:sz w:val="22"/>
          <w:szCs w:val="22"/>
        </w:rPr>
        <w:t xml:space="preserve">Nets : la diapositive d'allocation du capital parle de « net growth investments » pour les boosters. Le brut, Veolia l'appelle « rotation d'actifs » : 4 Md€ déjà faits, 8,5 Md€ au total avec Clean Earth et le plan de cessions.</w:t>
      </w:r>
    </w:p>
    <w:p>
      <w:pPr>
        <w:spacing w:after="120" w:line="300"/>
      </w:pPr>
      <w:r>
        <w:rPr>
          <w:rFonts w:ascii="Arial" w:cs="Arial" w:eastAsia="Arial" w:hAnsi="Arial"/>
          <w:b/>
          <w:bCs/>
          <w:sz w:val="22"/>
          <w:szCs w:val="22"/>
        </w:rPr>
        <w:t xml:space="preserve">Les 8 Md€ de rotation ne contredisent-ils pas les 0,5 Md€ par an ?</w:t>
      </w:r>
    </w:p>
    <w:p>
      <w:pPr>
        <w:spacing w:after="120" w:line="300"/>
      </w:pPr>
      <w:r>
        <w:rPr>
          <w:rFonts w:ascii="Arial" w:cs="Arial" w:eastAsia="Arial" w:hAnsi="Arial"/>
          <w:sz w:val="22"/>
          <w:szCs w:val="22"/>
        </w:rPr>
        <w:t xml:space="preserve">Non : les 8 Md€ sont un montant brut (achats et ventes additionnés) sur quatre ans, les 0,5 Md€ un solde annuel.</w:t>
      </w:r>
    </w:p>
    <w:p>
      <w:pPr>
        <w:spacing w:after="120" w:line="300"/>
      </w:pPr>
      <w:r>
        <w:rPr>
          <w:rFonts w:ascii="Arial" w:cs="Arial" w:eastAsia="Arial" w:hAnsi="Arial"/>
          <w:b/>
          <w:bCs/>
          <w:sz w:val="22"/>
          <w:szCs w:val="22"/>
        </w:rPr>
        <w:t xml:space="preserve">Comment avez-vous constitué le registre ?</w:t>
      </w:r>
    </w:p>
    <w:p>
      <w:pPr>
        <w:spacing w:after="120" w:line="300"/>
      </w:pPr>
      <w:r>
        <w:rPr>
          <w:rFonts w:ascii="Arial" w:cs="Arial" w:eastAsia="Arial" w:hAnsi="Arial"/>
          <w:sz w:val="22"/>
          <w:szCs w:val="22"/>
        </w:rPr>
        <w:t xml:space="preserve">À partir des documents publiés par Veolia (DEU, amendements, communiqués, présentations), une ligne par chiffre avec fichier, page, URL et date. Les opérations viennent des notes « Principales évolutions de périmètre » des comptes consolidés.</w:t>
      </w:r>
    </w:p>
    <w:p>
      <w:r>
        <w:br w:type="page"/>
      </w:r>
    </w:p>
    <w:p>
      <w:pPr>
        <w:pStyle w:val="Heading1"/>
        <w:spacing w:after="120" w:before="240"/>
      </w:pPr>
      <w:r>
        <w:rPr>
          <w:rFonts w:ascii="Arial" w:cs="Arial" w:eastAsia="Arial" w:hAnsi="Arial"/>
        </w:rPr>
        <w:t xml:space="preserve">Rôle 2 — La contrainte</w:t>
      </w:r>
    </w:p>
    <w:p>
      <w:pPr>
        <w:spacing w:after="120" w:line="300"/>
      </w:pPr>
      <w:r>
        <w:rPr>
          <w:rFonts w:ascii="Arial" w:cs="Arial" w:eastAsia="Arial" w:hAnsi="Arial"/>
          <w:i/>
          <w:iCs/>
          <w:color w:val="555555"/>
          <w:sz w:val="22"/>
          <w:szCs w:val="22"/>
        </w:rPr>
        <w:t xml:space="preserve">La position de départ, la définition du levier propre à Veolia, et le calcul jusqu'au plafond.</w:t>
      </w:r>
    </w:p>
    <w:p>
      <w:pPr>
        <w:shd w:fill="FFF2A8" w:color="auto" w:val="clear"/>
        <w:spacing w:after="160" w:before="160"/>
      </w:pPr>
      <w:r>
        <w:rPr>
          <w:rFonts w:ascii="Arial" w:cs="Arial" w:eastAsia="Arial" w:hAnsi="Arial"/>
          <w:i/>
          <w:iCs/>
          <w:sz w:val="22"/>
          <w:szCs w:val="22"/>
        </w:rPr>
        <w:t xml:space="preserve">[Section signée par : ______ ] — dans le classeur : Levier, Pont de dette, Échéancier</w:t>
      </w:r>
    </w:p>
    <w:p>
      <w:pPr>
        <w:pStyle w:val="Heading2"/>
        <w:spacing w:after="120" w:before="240"/>
      </w:pPr>
      <w:r>
        <w:rPr>
          <w:rFonts w:ascii="Arial" w:cs="Arial" w:eastAsia="Arial" w:hAnsi="Arial"/>
        </w:rPr>
        <w:t xml:space="preserve">Réponse (générée depuis le classeur, à réécrire)</w:t>
      </w:r>
    </w:p>
    <w:p>
      <w:pPr>
        <w:spacing w:after="120" w:line="300"/>
      </w:pPr>
      <w:r>
        <w:rPr>
          <w:rFonts w:ascii="Arial" w:cs="Arial" w:eastAsia="Arial" w:hAnsi="Arial"/>
          <w:sz w:val="22"/>
          <w:szCs w:val="22"/>
        </w:rPr>
        <w:t xml:space="preserve">Veolia mesure son levier comme dette financière nette de clôture (IFRS 16 incluse) sur EBITDA (IFRS 16 inclus), hybrides exclus. La définition redonne les ratios publiés. Au 30 juin 2026, le ratio mécanique de 3,39x surestime : corrigé de Clean Earth en année pleine et de la saisonnalité, on est à 3,17x. Le modèle donne 3,02x fin 2026, dans la guidance, et 2,80x fin 2027, soit 1,57 Md€ de marge sous 3x. Mais la vraie limite est celle des agences : S&amp;P abaisse la note si FFO / dette ajustée ne reste pas au-dessus de 18 %, Moody's si le ratio passe sous « high teens ». Au pic de dette ajustée de 2026 (~29 Md€), tenir 18 % demande 5,2 Md€ de FFO, soit le FFO 2025 (5,2 Md€) : à FFO constant il n'y a pas de marge. Si le FFO suit l'EBITDA, le modèle donne 19,3 % fin 2026 (Moody's attend 18-19 %) et 20,8 % fin 2027 : le seuil des agences mord en 2026, le 3x de Veolia mord en 2027 (4,3 Md€ de marge sous 18 % contre 1,57 Md€ sous 3x). Dans le scénario défavorable, la marge d'agence 2026 tombe à 0,21 Md€. L'écart de 5 747 M€ entre la dette des agences et celle de Veolia se réconcilie poste par poste (Moody's, Exhibit 13) : hybrides comptés à 50 % (2 050,0), pensions (647,0), titrisation (1 014,0), retraitements (1 650,0), et une trésorerie retenue plus basse. Moody's publie aussi le FFO : 5 160 M€ en 2025, et prévoit 18,5 % de FFO / dette nette en 2026, 19,5 % en 2027.</w:t>
      </w:r>
    </w:p>
    <w:p>
      <w:pPr>
        <w:pStyle w:val="Heading2"/>
        <w:spacing w:after="120" w:before="240"/>
      </w:pPr>
      <w:r>
        <w:rPr>
          <w:rFonts w:ascii="Arial" w:cs="Arial" w:eastAsia="Arial" w:hAnsi="Arial"/>
        </w:rPr>
        <w:t xml:space="preserve">Raisonnement (généré)</w:t>
      </w:r>
    </w:p>
    <w:p>
      <w:pPr>
        <w:pStyle w:val="ListParagraph"/>
        <w:numPr>
          <w:ilvl w:val="0"/>
          <w:numId w:val="6"/>
        </w:numPr>
        <w:spacing w:after="80"/>
      </w:pPr>
      <w:r>
        <w:rPr>
          <w:rFonts w:ascii="Arial" w:cs="Arial" w:eastAsia="Arial" w:hAnsi="Arial"/>
          <w:sz w:val="22"/>
          <w:szCs w:val="22"/>
        </w:rPr>
        <w:t xml:space="preserve">Prendre la définition dans le DEU 2025 (p.355) et la tester : elle redonne 2,63x pour 2024 et 2,79x pour 2025.</w:t>
      </w:r>
    </w:p>
    <w:p>
      <w:pPr>
        <w:pStyle w:val="ListParagraph"/>
        <w:numPr>
          <w:ilvl w:val="0"/>
          <w:numId w:val="6"/>
        </w:numPr>
        <w:spacing w:after="80"/>
      </w:pPr>
      <w:r>
        <w:rPr>
          <w:rFonts w:ascii="Arial" w:cs="Arial" w:eastAsia="Arial" w:hAnsi="Arial"/>
          <w:sz w:val="22"/>
          <w:szCs w:val="22"/>
        </w:rPr>
        <w:t xml:space="preserve">Les 4,1 Md€ d'hybrides sont des capitaux propres en IFRS (IAS 32.11). L'hybride vert de 2025 a réduit la dette nette de 497 M€ : c'est un levier sur le ratio, pas sur l'économie.</w:t>
      </w:r>
    </w:p>
    <w:p>
      <w:pPr>
        <w:pStyle w:val="ListParagraph"/>
        <w:numPr>
          <w:ilvl w:val="0"/>
          <w:numId w:val="6"/>
        </w:numPr>
        <w:spacing w:after="80"/>
      </w:pPr>
      <w:r>
        <w:rPr>
          <w:rFonts w:ascii="Arial" w:cs="Arial" w:eastAsia="Arial" w:hAnsi="Arial"/>
          <w:sz w:val="22"/>
          <w:szCs w:val="22"/>
        </w:rPr>
        <w:t xml:space="preserve">Au 30 juin 2026, trois lectures : 3,39x mécanique, 3,32x avec douze mois de Clean Earth, 3,17x en retirant la saisonnalité (la dette baisse de 1 107 M€ au second semestre). Seule la troisième se compare à un ratio de décembre.</w:t>
      </w:r>
    </w:p>
    <w:p>
      <w:pPr>
        <w:pStyle w:val="ListParagraph"/>
        <w:numPr>
          <w:ilvl w:val="0"/>
          <w:numId w:val="6"/>
        </w:numPr>
        <w:spacing w:after="80"/>
      </w:pPr>
      <w:r>
        <w:rPr>
          <w:rFonts w:ascii="Arial" w:cs="Arial" w:eastAsia="Arial" w:hAnsi="Arial"/>
          <w:sz w:val="22"/>
          <w:szCs w:val="22"/>
        </w:rPr>
        <w:t xml:space="preserve">Le plafond en euros : si l'objectif de 8 Md€ est atteint, la dette ne peut pas dépasser 24 Md€ fin 2027 ; la dette de juin 2026 (24 548 M€) est déjà au-dessus. Chaque 0,5 Md€ d'EBITDA en plus libère 1,5 Md€ : la capacité dépend plus de l'EBITDA que de n'importe quelle décision d'allocation.</w:t>
      </w:r>
    </w:p>
    <w:p>
      <w:pPr>
        <w:pStyle w:val="ListParagraph"/>
        <w:numPr>
          <w:ilvl w:val="0"/>
          <w:numId w:val="6"/>
        </w:numPr>
        <w:spacing w:after="80"/>
      </w:pPr>
      <w:r>
        <w:rPr>
          <w:rFonts w:ascii="Arial" w:cs="Arial" w:eastAsia="Arial" w:hAnsi="Arial"/>
          <w:sz w:val="22"/>
          <w:szCs w:val="22"/>
        </w:rPr>
        <w:t xml:space="preserve">Fin 2026, le modèle donne 3,02x (dette 22 669 M€, EBITDA 7 512 M€). Il retombe dans la guidance sans réglage : c'est le test de calibrage.</w:t>
      </w:r>
    </w:p>
    <w:p>
      <w:pPr>
        <w:pStyle w:val="ListParagraph"/>
        <w:numPr>
          <w:ilvl w:val="0"/>
          <w:numId w:val="6"/>
        </w:numPr>
        <w:spacing w:after="80"/>
      </w:pPr>
      <w:r>
        <w:rPr>
          <w:rFonts w:ascii="Arial" w:cs="Arial" w:eastAsia="Arial" w:hAnsi="Arial"/>
          <w:sz w:val="22"/>
          <w:szCs w:val="22"/>
        </w:rPr>
        <w:t xml:space="preserve">Fin 2027 : 2,80x, marge de 1 571 M€ sous 3x. Avec la moitié des hybrides en dette, le ratio passe à 3,06x et la marge disparaît ; avec tous les hybrides, 3,32x.</w:t>
      </w:r>
    </w:p>
    <w:p>
      <w:pPr>
        <w:pStyle w:val="ListParagraph"/>
        <w:numPr>
          <w:ilvl w:val="0"/>
          <w:numId w:val="6"/>
        </w:numPr>
        <w:spacing w:after="80"/>
      </w:pPr>
      <w:r>
        <w:rPr>
          <w:rFonts w:ascii="Arial" w:cs="Arial" w:eastAsia="Arial" w:hAnsi="Arial"/>
          <w:sz w:val="22"/>
          <w:szCs w:val="22"/>
        </w:rPr>
        <w:t xml:space="preserve">Les agences, publiées par Veolia elle-même sur sa page « Debt and ratings » : Moody's (Baa1 stable, mai 2026) mesure FFO / dette nette ajustée à 20,3 % en 2025 et attend 18-19 % en 2026 avec un pic de dette ajustée vers 29 Md€ ; dégradation si le ratio passe sous « high teens ». S&amp;P (BBB stable, avril 2026) : dégradation si FFO / dette ne reste pas durablement au-dessus de 18 %. La dette ajustée des agences dépasse de 5,7 Md€ la dette nette publiée : hybrides comptés en partie, pensions, provisions.</w:t>
      </w:r>
    </w:p>
    <w:p>
      <w:pPr>
        <w:pStyle w:val="ListParagraph"/>
        <w:numPr>
          <w:ilvl w:val="0"/>
          <w:numId w:val="6"/>
        </w:numPr>
        <w:spacing w:after="80"/>
      </w:pPr>
      <w:r>
        <w:rPr>
          <w:rFonts w:ascii="Arial" w:cs="Arial" w:eastAsia="Arial" w:hAnsi="Arial"/>
          <w:sz w:val="22"/>
          <w:szCs w:val="22"/>
        </w:rPr>
        <w:t xml:space="preserve">La réconciliation, poste par poste (Moody's Exhibit 13) : dette brute publiée 29 518,0 M€ (c'est le sous-total des emprunts du DEU, 29 518), plus pensions 647,0, hybrides à 50 % 2 050,0, titrisation 1 014,0, retraitements 1 650,0 = 34 879,0 ; moins une trésorerie retenue de 9 475,0 = 25 404,0. Les hybrides pèsent 36 % de l'écart. Moody's mesure 3,7x de dette nette / EBITDA ajustés là où Veolia publie 2,79x : même entreprise, deux définitions.</w:t>
      </w:r>
    </w:p>
    <w:p>
      <w:pPr>
        <w:pStyle w:val="ListParagraph"/>
        <w:numPr>
          <w:ilvl w:val="0"/>
          <w:numId w:val="6"/>
        </w:numPr>
        <w:spacing w:after="80"/>
      </w:pPr>
      <w:r>
        <w:rPr>
          <w:rFonts w:ascii="Arial" w:cs="Arial" w:eastAsia="Arial" w:hAnsi="Arial"/>
          <w:sz w:val="22"/>
          <w:szCs w:val="22"/>
        </w:rPr>
        <w:t xml:space="preserve">Le mur de refinancement n'en est pas un : les flux contractuels de dette 2026 (9 642 M€, dont 4 933 de billets de trésorerie renouvelés en continu) sont couverts 1,65x par 15 911 M€ de liquidités, dont une ligne syndiquée de 4 500 M€ non tirée jusqu'en 2030 ; 2027 pèse 3 891 M€ (DEU p.421). Aucun covenant financier sur la dette de Veolia Environnement (p.422). Ce que le mur change, c'est le FFO : les souches de 2027-2028 portent des coupons de 0 à 1,6 % et se refinanceront vers 3,3 % (émission de juin 2025), soit ~74 M€ d'intérêts de plus par an (1,4 % du FFO).</w:t>
      </w:r>
    </w:p>
    <w:p>
      <w:pPr>
        <w:pStyle w:val="ListParagraph"/>
        <w:numPr>
          <w:ilvl w:val="0"/>
          <w:numId w:val="6"/>
        </w:numPr>
        <w:spacing w:after="80"/>
      </w:pPr>
      <w:r>
        <w:rPr>
          <w:rFonts w:ascii="Arial" w:cs="Arial" w:eastAsia="Arial" w:hAnsi="Arial"/>
          <w:sz w:val="22"/>
          <w:szCs w:val="22"/>
        </w:rPr>
        <w:t xml:space="preserve">Le FFO des agences se reconstitue depuis le tableau de flux : capacité d'autofinancement avant BFR 6 144 M€, moins impôts et intérêts payés, plus remboursements d'actifs financiers opérationnels et dividendes reçus = 5 157 M€, contre 5 160 publiés par Moody's (écart −0,1 %). Le classeur le contrôle à ± 5 % sur 2024 et 2025.</w:t>
      </w:r>
    </w:p>
    <w:p>
      <w:pPr>
        <w:shd w:fill="FFF2A8" w:color="auto" w:val="clear"/>
        <w:spacing w:after="160" w:before="160"/>
      </w:pPr>
      <w:r>
        <w:rPr>
          <w:rFonts w:ascii="Arial" w:cs="Arial" w:eastAsia="Arial" w:hAnsi="Arial"/>
          <w:i/>
          <w:iCs/>
          <w:sz w:val="22"/>
          <w:szCs w:val="22"/>
        </w:rPr>
        <w:t xml:space="preserve">[À rédiger] 08_Livrables/texte/role-2.md : 6 à 9 pages, chaque chiffre cité par son jeton [F…] du registre.</w:t>
      </w:r>
    </w:p>
    <w:p>
      <w:pPr>
        <w:pStyle w:val="Heading2"/>
        <w:spacing w:after="120" w:before="240"/>
      </w:pPr>
      <w:r>
        <w:rPr>
          <w:rFonts w:ascii="Arial" w:cs="Arial" w:eastAsia="Arial" w:hAnsi="Arial"/>
        </w:rPr>
        <w:t xml:space="preserve">Chiffres cités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0"/>
        <w:gridCol w:w="3000"/>
        <w:gridCol w:w="1000"/>
        <w:gridCol w:w="1300"/>
        <w:gridCol w:w="2126"/>
        <w:gridCol w:w="700"/>
      </w:tblGrid>
      <w:tr>
        <w:trPr>
          <w:tblHeader/>
        </w:trPr>
        <w:tc>
          <w:tcPr>
            <w:tcW w:type="dxa" w:w="900"/>
            <w:shd w:fill="E7E6E6" w:color="auto" w:val="clear"/>
            <w:tcMar>
              <w:top w:type="dxa" w:w="40"/>
              <w:left w:type="dxa" w:w="80"/>
              <w:bottom w:type="dxa" w:w="40"/>
              <w:right w:type="dxa" w:w="80"/>
            </w:tcMar>
          </w:tcPr>
          <w:p>
            <w:pPr>
              <w:spacing w:after="0"/>
              <w:jc w:val="left"/>
            </w:pPr>
            <w:r>
              <w:rPr>
                <w:rFonts w:ascii="Arial" w:cs="Arial" w:eastAsia="Arial" w:hAnsi="Arial"/>
                <w:b/>
                <w:bCs/>
                <w:sz w:val="18"/>
                <w:szCs w:val="18"/>
              </w:rPr>
              <w:t xml:space="preserve">ID</w:t>
            </w:r>
          </w:p>
        </w:tc>
        <w:tc>
          <w:tcPr>
            <w:tcW w:type="dxa" w:w="3000"/>
            <w:shd w:fill="E7E6E6" w:color="auto" w:val="clear"/>
            <w:tcMar>
              <w:top w:type="dxa" w:w="40"/>
              <w:left w:type="dxa" w:w="80"/>
              <w:bottom w:type="dxa" w:w="40"/>
              <w:right w:type="dxa" w:w="80"/>
            </w:tcMar>
          </w:tcPr>
          <w:p>
            <w:pPr>
              <w:spacing w:after="0"/>
              <w:jc w:val="left"/>
            </w:pPr>
            <w:r>
              <w:rPr>
                <w:rFonts w:ascii="Arial" w:cs="Arial" w:eastAsia="Arial" w:hAnsi="Arial"/>
                <w:b/>
                <w:bCs/>
                <w:sz w:val="18"/>
                <w:szCs w:val="18"/>
              </w:rPr>
              <w:t xml:space="preserve">Chiffre</w:t>
            </w:r>
          </w:p>
        </w:tc>
        <w:tc>
          <w:tcPr>
            <w:tcW w:type="dxa" w:w="1000"/>
            <w:shd w:fill="E7E6E6" w:color="auto" w:val="clear"/>
            <w:tcMar>
              <w:top w:type="dxa" w:w="40"/>
              <w:left w:type="dxa" w:w="80"/>
              <w:bottom w:type="dxa" w:w="40"/>
              <w:right w:type="dxa" w:w="80"/>
            </w:tcMar>
          </w:tcPr>
          <w:p>
            <w:pPr>
              <w:spacing w:after="0"/>
              <w:jc w:val="left"/>
            </w:pPr>
            <w:r>
              <w:rPr>
                <w:rFonts w:ascii="Arial" w:cs="Arial" w:eastAsia="Arial" w:hAnsi="Arial"/>
                <w:b/>
                <w:bCs/>
                <w:sz w:val="18"/>
                <w:szCs w:val="18"/>
              </w:rPr>
              <w:t xml:space="preserve">Période</w:t>
            </w:r>
          </w:p>
        </w:tc>
        <w:tc>
          <w:tcPr>
            <w:tcW w:type="dxa" w:w="1300"/>
            <w:shd w:fill="E7E6E6" w:color="auto" w:val="clear"/>
            <w:tcMar>
              <w:top w:type="dxa" w:w="40"/>
              <w:left w:type="dxa" w:w="80"/>
              <w:bottom w:type="dxa" w:w="40"/>
              <w:right w:type="dxa" w:w="80"/>
            </w:tcMar>
          </w:tcPr>
          <w:p>
            <w:pPr>
              <w:spacing w:after="0"/>
              <w:jc w:val="left"/>
            </w:pPr>
            <w:r>
              <w:rPr>
                <w:rFonts w:ascii="Arial" w:cs="Arial" w:eastAsia="Arial" w:hAnsi="Arial"/>
                <w:b/>
                <w:bCs/>
                <w:sz w:val="18"/>
                <w:szCs w:val="18"/>
              </w:rPr>
              <w:t xml:space="preserve">Valeur</w:t>
            </w:r>
          </w:p>
        </w:tc>
        <w:tc>
          <w:tcPr>
            <w:tcW w:type="dxa" w:w="2126"/>
            <w:shd w:fill="E7E6E6" w:color="auto" w:val="clear"/>
            <w:tcMar>
              <w:top w:type="dxa" w:w="40"/>
              <w:left w:type="dxa" w:w="80"/>
              <w:bottom w:type="dxa" w:w="40"/>
              <w:right w:type="dxa" w:w="80"/>
            </w:tcMar>
          </w:tcPr>
          <w:p>
            <w:pPr>
              <w:spacing w:after="0"/>
              <w:jc w:val="left"/>
            </w:pPr>
            <w:r>
              <w:rPr>
                <w:rFonts w:ascii="Arial" w:cs="Arial" w:eastAsia="Arial" w:hAnsi="Arial"/>
                <w:b/>
                <w:bCs/>
                <w:sz w:val="18"/>
                <w:szCs w:val="18"/>
              </w:rPr>
              <w:t xml:space="preserve">Source (fichier, page)</w:t>
            </w:r>
          </w:p>
        </w:tc>
        <w:tc>
          <w:tcPr>
            <w:tcW w:type="dxa" w:w="700"/>
            <w:shd w:fill="E7E6E6" w:color="auto" w:val="clear"/>
            <w:tcMar>
              <w:top w:type="dxa" w:w="40"/>
              <w:left w:type="dxa" w:w="80"/>
              <w:bottom w:type="dxa" w:w="40"/>
              <w:right w:type="dxa" w:w="80"/>
            </w:tcMar>
          </w:tcPr>
          <w:p>
            <w:pPr>
              <w:spacing w:after="0"/>
              <w:jc w:val="left"/>
            </w:pPr>
            <w:r>
              <w:rPr>
                <w:rFonts w:ascii="Arial" w:cs="Arial" w:eastAsia="Arial" w:hAnsi="Arial"/>
                <w:b/>
                <w:bCs/>
                <w:sz w:val="18"/>
                <w:szCs w:val="18"/>
              </w:rPr>
              <w:t xml:space="preserve">Relu par</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F23</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Dette financière nette</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31/12/2024</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17 819 M€</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annual-resultats-2025.pdf, p. 1</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F17</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EBITDA</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FY2024</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6 788 M€</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annual-resultats-2025.pdf, p. 1</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F20</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Levier publié</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FY2024</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2,63x</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annual-resultats-2025.pdf, p. 1</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F8</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Dette financière nette</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31/12/2025</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19 657 M€</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annual-resultats-2025.pdf, p. 1</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F3</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EBITDA</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7 050 M€</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annual-resultats-2025.pdf, p. 1</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F16</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Levier publié</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2,79x</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annual-resultats-2025.pdf, p. 1</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calcul</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Levier recalculé 2025</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2,79x</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DFN / EBITDA</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F11</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Dette au 30/06/2026, Clean Earth inclus</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30/06/2026</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24 548 M€</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veolia-amendement-deu-2025-s1-2026.pdf, p. 14</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F71</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Dette au 30/06/2025</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30/06/2025</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20 764 M€</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veolia_finance_amendment_urd_2025.pdf, p. 26</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calcul</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EBITDA glissant 12 mois au 30/06/2026</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7 235 M EUR</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2025 − S1 2025 + S1 2026</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calcul</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① Levier mécanique</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3,39x</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toute la dette, un mois d'EBITDA de Clean Earth</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calcul</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② Pro forma Clean Earth 12 mois</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3,32x</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+ 11 mois d'EBITDA de Clean Earth</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calcul</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③ Corrigé de la saisonnalité</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3,17x</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 la baisse de dette du S2 2025</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F14</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Levier publié hors Clean Earth</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31/03/2026</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2,92x</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operating_and_financial_review_consolidated_financial_statements_q1_2026.pdf, p. 5</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calcul</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Dette maximale fin 2027 si l'objectif ≥ 8 Md€ est atteint</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24 000 M EUR</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 × 8 000</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calcul</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Dette maximale fin 2027 à l'EBITDA du modèle</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23 944 M EUR</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 × EBITDA 2027 central</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calcul</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Dette libérée par 0,5 Md€ d'EBITDA en plus</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1 500 M EUR</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 × 500</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F144</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Maturité moyenne de la dette nette</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31/12/2025</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6,5 années</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351</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F146</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Part à taux fixe après couverture</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31/12/2025</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85 %</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351</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F10</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Dettes hybrides (capitaux propres)</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30/06/2026</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4,1 Md€</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veolia_finance_amendment_urd_2025.pdf, p. 64</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F66</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Hybride vert 2025 : baisse de la dette nette</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497 M€</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annual-resultats-2025.pdf, p. 15</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F155</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Moody's : FFO / dette nette ajustée</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FY2024</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21,3 %</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credit_opinion-veolia-environnement-sa-04may2026.pdf, p. 11</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F147</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Moody's : FFO / dette nette ajustée</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20,3 %</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credit_opinion-veolia-environnement-sa-04may2026.pdf, p. 7</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F148</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Moody's : attendu 2026, bas</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2026F</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18 %</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credit_opinion-veolia-environnement-sa-04may2026.pdf, p. 7</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F149</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Moody's : attendu 2026, haut</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2026F</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19 %</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credit_opinion-veolia-environnement-sa-04may2026.pdf, p. 7</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F152</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Moody's : dégradation si FFO / dette nette sous</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2026-2027</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 high teens »</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credit_opinion-veolia-environnement-sa-04may2026.pdf, p. 2</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F153</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Moody's : relèvement si dans</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2026-2027</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 low-to-mid 20s »</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credit_opinion-veolia-environnement-sa-04may2026.pdf, p. 2</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F150</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Moody's : dette nette ajustée</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25,4 Md€</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credit_opinion-veolia-environnement-sa-04may2026.pdf, p. 7</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F151</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Moody's : dette nette ajustée, pic</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2026F</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29 Md€</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credit_opinion-veolia-environnement-sa-04may2026.pdf, p. 7</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F163</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S&amp;P : dégradation si FFO / dette durablement sous</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2026-2028</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18 %</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ratingsdirect_tearsheet_veoliaenvironnements.a._3552186_apr-27-2026.pdf, p. 3</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F164</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S&amp;P : attendu 2026-2028, bas</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2026-2028</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20 %</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ratingsdirect_tearsheet_veoliaenvironnements.a._3552186_apr-27-2026.pdf, p. 3</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F165</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S&amp;P : attendu 2026-2028, haut</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2026-2028</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22 %</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ratingsdirect_tearsheet_veoliaenvironnements.a._3552186_apr-27-2026.pdf, p. 3</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calcul</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FFO 2025 implicite</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5 156 M EUR</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20,3 % × 25 400</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calcul</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FFO requis en 2026 au seuil S&amp;P</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5 220 M EUR</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18 % × ~29 000</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calcul</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Marge de FFO en 2026 au seuil S&amp;P</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−64 M EUR</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FFO 2025 − requis</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calcul</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Écart dette ajustée Moody's − dette nette publiée 2025</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5 743 M EUR</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retraitements d'agence</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F249</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Moody's : dette brute publiée</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29 518,0 M€</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credit_opinion-veolia-environnement-sa-04may2026.pdf, p. 11</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F271</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Sous-total des emprunts (DEU)</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31/12/2025</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29 518 M€</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351</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F250</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 pensions</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647,0 M€</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credit_opinion-veolia-environnement-sa-04may2026.pdf, p. 11</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F251</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 hybrides à 50 %</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2 050,0 M€</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credit_opinion-veolia-environnement-sa-04may2026.pdf, p. 11</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F252</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 titrisation</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1 014,0 M€</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credit_opinion-veolia-environnement-sa-04may2026.pdf, p. 11</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F253</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 ajustements non standard</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1 650,0 M€</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credit_opinion-veolia-environnement-sa-04may2026.pdf, p. 11</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F254</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 dette brute ajustée</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34 879,0 M€</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credit_opinion-veolia-environnement-sa-04may2026.pdf, p. 11</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F255</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 trésorerie retenue</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9 475,0 M€</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credit_opinion-veolia-environnement-sa-04may2026.pdf, p. 11</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F256</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 dette nette ajustée</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25 404,0 M€</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credit_opinion-veolia-environnement-sa-04may2026.pdf, p. 11</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calcul</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Part des hybrides dans l'écart</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35,7 %</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hybrides / (ajustée − publiée)</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F262</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Moody's : FFO</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FY2024</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4 948 M€</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credit_opinion-veolia-environnement-sa-04may2026.pdf, p. 12</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F261</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Moody's : FFO</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5 160 M€</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credit_opinion-veolia-environnement-sa-04may2026.pdf, p. 12</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F264</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Moody's : dividendes</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1 341 M€</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credit_opinion-veolia-environnement-sa-04may2026.pdf, p. 12</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F265</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Moody's : RCF</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3 819 M€</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credit_opinion-veolia-environnement-sa-04may2026.pdf, p. 12</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F269</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Moody's : dette nette / EBITDA ajustés</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3,7x</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credit_opinion-veolia-environnement-sa-04may2026.pdf, p. 12</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F244</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Moody's : FFO / dette nette prévu</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2026F</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18,5 %</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credit_opinion-veolia-environnement-sa-04may2026.pdf, p. 2</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F245</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Moody's : FFO / dette nette prévu</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2027F</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19,5 %</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credit_opinion-veolia-environnement-sa-04may2026.pdf, p. 2</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F532</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Pairs : ACEA, FFO / dette nette</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LTM 06/2025</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20,3 %</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credit_opinion-veolia-environnement-sa-04may2026.pdf, p. 11</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F537</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Pairs : Hera, FFO / dette nette</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LTM 06/2025</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23,3 %</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credit_opinion-veolia-environnement-sa-04may2026.pdf, p. 11</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F542</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Pairs : Suez, FFO / dette nette</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LTM 06/2025</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11,4 %</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credit_opinion-veolia-environnement-sa-04may2026.pdf, p. 11</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F540</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Pairs : Suez, notation</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05/2026</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 Baa2 Negative »</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credit_opinion-veolia-environnement-sa-04may2026.pdf, p. 11</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F57</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Guidance fin 2026 : égal ou légèrement au-dessus de</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31/12/2026</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3x</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veolia-2026-first-half-results.pdf, p. 3</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F56</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Engagement 2027 : au plus</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2027</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3x</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veolia_clean_earth_investor_presentation.pdf, p. 16</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calcul</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Levier fin 2026 (modèle)</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3,02x</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pro forma 12 mois : 2,99x</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calcul</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Levier fin 2027 (modèle)</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2,80x</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marge 1 571 M EUR</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calcul</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 si 50 % des hybrides comptent en dette</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3,06x</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lecture d'analyste</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F408</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Flux contractuels de dette 2026, principal et intérêts</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31/12/2025</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9 642 M€</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421</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F368</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Flux contractuels de dette 2027</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31/12/2025</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3 891 M€</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421</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F417</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Liquidités totales</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31/12/2025</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15 911 M€</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421</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F373</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Ligne syndiquée non tirée, jusqu'en 2030</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31/12/2025</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4 500 M€</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421</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calcul</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Liquidités / flux de dette 2026</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1,65x</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4,14x hors billets de trésorerie et hybride notifié</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calcul</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Surcoût d'intérêts annuel, souches 2027-2028 refinancées au taux de juin 2025</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74 M EUR</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1,4 % du FFO 2025</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F308</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Capacité d'autofinancement avant BFR (tableau de flux)</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6 144 M€</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362</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F328</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Intérêts payés</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−619 M€</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363</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calcul</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FFO 2025 reconstitué depuis le tableau de flux</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5 157 M EUR</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Moody's : 5 160 ; écart −0,1 %</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bl>
    <w:p>
      <w:pPr>
        <w:pStyle w:val="Heading2"/>
        <w:spacing w:after="120" w:before="240"/>
      </w:pPr>
      <w:r>
        <w:rPr>
          <w:rFonts w:ascii="Arial" w:cs="Arial" w:eastAsia="Arial" w:hAnsi="Arial"/>
        </w:rPr>
        <w:t xml:space="preserve">Ce que nous n'avons pas pu établir</w:t>
      </w:r>
    </w:p>
    <w:p>
      <w:pPr>
        <w:pStyle w:val="ListParagraph"/>
        <w:numPr>
          <w:ilvl w:val="0"/>
          <w:numId w:val="5"/>
        </w:numPr>
        <w:spacing w:after="80"/>
      </w:pPr>
      <w:r>
        <w:rPr>
          <w:rFonts w:ascii="Arial" w:cs="Arial" w:eastAsia="Arial" w:hAnsi="Arial"/>
          <w:sz w:val="22"/>
          <w:szCs w:val="22"/>
        </w:rPr>
        <w:t xml:space="preserve">Veolia ne dit pas si son ratio de fin 2026 comptera douze mois de Clean Earth (2,99x) ou sept (3,02x).</w:t>
      </w:r>
    </w:p>
    <w:p>
      <w:pPr>
        <w:pStyle w:val="ListParagraph"/>
        <w:numPr>
          <w:ilvl w:val="0"/>
          <w:numId w:val="5"/>
        </w:numPr>
        <w:spacing w:after="80"/>
      </w:pPr>
      <w:r>
        <w:rPr>
          <w:rFonts w:ascii="Arial" w:cs="Arial" w:eastAsia="Arial" w:hAnsi="Arial"/>
          <w:sz w:val="22"/>
          <w:szCs w:val="22"/>
        </w:rPr>
        <w:t xml:space="preserve">Les coupons des deux souches euro de 2026 (750 et 650 M€) ne figurent pas au tableau p.407 (lignes courantes) : le surcoût de refinancement de 2026 n'est pas chiffré.</w:t>
      </w:r>
    </w:p>
    <w:p>
      <w:pPr>
        <w:pStyle w:val="ListParagraph"/>
        <w:numPr>
          <w:ilvl w:val="0"/>
          <w:numId w:val="5"/>
        </w:numPr>
        <w:spacing w:after="80"/>
      </w:pPr>
      <w:r>
        <w:rPr>
          <w:rFonts w:ascii="Arial" w:cs="Arial" w:eastAsia="Arial" w:hAnsi="Arial"/>
          <w:sz w:val="22"/>
          <w:szCs w:val="22"/>
        </w:rPr>
        <w:t xml:space="preserve">Le change sur la dette en dollars n'est pas modélisé.</w:t>
      </w:r>
    </w:p>
    <w:p>
      <w:pPr>
        <w:pStyle w:val="Heading2"/>
        <w:spacing w:after="120" w:before="240"/>
      </w:pPr>
      <w:r>
        <w:rPr>
          <w:rFonts w:ascii="Arial" w:cs="Arial" w:eastAsia="Arial" w:hAnsi="Arial"/>
        </w:rPr>
        <w:t xml:space="preserve">Questions probables du jury</w:t>
      </w:r>
    </w:p>
    <w:p>
      <w:pPr>
        <w:spacing w:after="120" w:line="300"/>
      </w:pPr>
      <w:r>
        <w:rPr>
          <w:rFonts w:ascii="Arial" w:cs="Arial" w:eastAsia="Arial" w:hAnsi="Arial"/>
          <w:b/>
          <w:bCs/>
          <w:sz w:val="22"/>
          <w:szCs w:val="22"/>
        </w:rPr>
        <w:t xml:space="preserve">Pourquoi ne pas citer 3,39x au 30 juin ?</w:t>
      </w:r>
    </w:p>
    <w:p>
      <w:pPr>
        <w:spacing w:after="120" w:line="300"/>
      </w:pPr>
      <w:r>
        <w:rPr>
          <w:rFonts w:ascii="Arial" w:cs="Arial" w:eastAsia="Arial" w:hAnsi="Arial"/>
          <w:sz w:val="22"/>
          <w:szCs w:val="22"/>
        </w:rPr>
        <w:t xml:space="preserve">Parce qu'il rapporte toute la dette de Clean Earth à un seul mois de son EBITDA, et une dette de juin, toujours plus haute, à un plafond qui se mesure en décembre. Corrigé des deux, on est à 3,17x.</w:t>
      </w:r>
    </w:p>
    <w:p>
      <w:pPr>
        <w:spacing w:after="120" w:line="300"/>
      </w:pPr>
      <w:r>
        <w:rPr>
          <w:rFonts w:ascii="Arial" w:cs="Arial" w:eastAsia="Arial" w:hAnsi="Arial"/>
          <w:b/>
          <w:bCs/>
          <w:sz w:val="22"/>
          <w:szCs w:val="22"/>
        </w:rPr>
        <w:t xml:space="preserve">Quel est le vrai plafond : 3x ou les agences ?</w:t>
      </w:r>
    </w:p>
    <w:p>
      <w:pPr>
        <w:spacing w:after="120" w:line="300"/>
      </w:pPr>
      <w:r>
        <w:rPr>
          <w:rFonts w:ascii="Arial" w:cs="Arial" w:eastAsia="Arial" w:hAnsi="Arial"/>
          <w:sz w:val="22"/>
          <w:szCs w:val="22"/>
        </w:rPr>
        <w:t xml:space="preserve">Les deux, à des dates différentes. Veolia s'engage à garder BBB / Baa1, et S&amp;P abaisse la note sous 18 % de FFO / dette. Au pic de dette de 2026, ce seuil demande 5,2 Md€ de FFO pour 5,2 Md€ générés en 2025 : c'est 2026 qui est tendu, et c'est pour cela que les cessions sont annoncées dans les deux ans. Fin 2027, avec un FFO qui suit l'EBITDA, le ratio remonte à 20,8 % et c'est le 3x de Veolia qui limite la capacité (Veolia dans le modèle).</w:t>
      </w:r>
    </w:p>
    <w:p>
      <w:pPr>
        <w:spacing w:after="120" w:line="300"/>
      </w:pPr>
      <w:r>
        <w:rPr>
          <w:rFonts w:ascii="Arial" w:cs="Arial" w:eastAsia="Arial" w:hAnsi="Arial"/>
          <w:b/>
          <w:bCs/>
          <w:sz w:val="22"/>
          <w:szCs w:val="22"/>
        </w:rPr>
        <w:t xml:space="preserve">D'où vient l'écart de 5,7 Md€ entre la dette des agences et la dette publiée ?</w:t>
      </w:r>
    </w:p>
    <w:p>
      <w:pPr>
        <w:spacing w:after="120" w:line="300"/>
      </w:pPr>
      <w:r>
        <w:rPr>
          <w:rFonts w:ascii="Arial" w:cs="Arial" w:eastAsia="Arial" w:hAnsi="Arial"/>
          <w:sz w:val="22"/>
          <w:szCs w:val="22"/>
        </w:rPr>
        <w:t xml:space="preserve">De la réconciliation que Moody's publie : la dette brute est la même (29 518,0 M€), Moody's y ajoute pensions, titrisation, retraitements et la moitié des hybrides (2 050,0 M€), puis retient moins de trésorerie (9 475,0 contre 8 021 + 1 952 chez Veolia). Chaque poste est au registre avec sa page.</w:t>
      </w:r>
    </w:p>
    <w:p>
      <w:pPr>
        <w:spacing w:after="120" w:line="300"/>
      </w:pPr>
      <w:r>
        <w:rPr>
          <w:rFonts w:ascii="Arial" w:cs="Arial" w:eastAsia="Arial" w:hAnsi="Arial"/>
          <w:b/>
          <w:bCs/>
          <w:sz w:val="22"/>
          <w:szCs w:val="22"/>
        </w:rPr>
        <w:t xml:space="preserve">Les hybrides sont-ils de la dette ?</w:t>
      </w:r>
    </w:p>
    <w:p>
      <w:pPr>
        <w:spacing w:after="120" w:line="300"/>
      </w:pPr>
      <w:r>
        <w:rPr>
          <w:rFonts w:ascii="Arial" w:cs="Arial" w:eastAsia="Arial" w:hAnsi="Arial"/>
          <w:sz w:val="22"/>
          <w:szCs w:val="22"/>
        </w:rPr>
        <w:t xml:space="preserve">Pas pour Veolia ni en IFRS. Mais ils portent un coupon et une date de rappel : un lecteur prudent en compte une partie, et le plafond de 2027 n'est alors plus tenu (3,06x à 50 %).</w:t>
      </w:r>
    </w:p>
    <w:p>
      <w:pPr>
        <w:spacing w:after="120" w:line="300"/>
      </w:pPr>
      <w:r>
        <w:rPr>
          <w:rFonts w:ascii="Arial" w:cs="Arial" w:eastAsia="Arial" w:hAnsi="Arial"/>
          <w:b/>
          <w:bCs/>
          <w:sz w:val="22"/>
          <w:szCs w:val="22"/>
        </w:rPr>
        <w:t xml:space="preserve">Y a-t-il un mur de refinancement avant 2027 ?</w:t>
      </w:r>
    </w:p>
    <w:p>
      <w:pPr>
        <w:spacing w:after="120" w:line="300"/>
      </w:pPr>
      <w:r>
        <w:rPr>
          <w:rFonts w:ascii="Arial" w:cs="Arial" w:eastAsia="Arial" w:hAnsi="Arial"/>
          <w:sz w:val="22"/>
          <w:szCs w:val="22"/>
        </w:rPr>
        <w:t xml:space="preserve">Non. 9 642 M€ de flux contractuels en 2026, dont 4 933 de billets de trésorerie qui se renouvellent, face à 15 911 M€ de liquidités : couvert 1,65x. Le mur agit sur le FFO, pas sur la dette : environ 74 M€ d'intérêts de plus par an quand les souches à bas coupon de 2027-2028 se refinancent au taux de 2025.</w:t>
      </w:r>
    </w:p>
    <w:p>
      <w:pPr>
        <w:spacing w:after="120" w:line="300"/>
      </w:pPr>
      <w:r>
        <w:rPr>
          <w:rFonts w:ascii="Arial" w:cs="Arial" w:eastAsia="Arial" w:hAnsi="Arial"/>
          <w:b/>
          <w:bCs/>
          <w:sz w:val="22"/>
          <w:szCs w:val="22"/>
        </w:rPr>
        <w:t xml:space="preserve">Les hybrides ont-ils une date ?</w:t>
      </w:r>
    </w:p>
    <w:p>
      <w:pPr>
        <w:spacing w:after="120" w:line="300"/>
      </w:pPr>
      <w:r>
        <w:rPr>
          <w:rFonts w:ascii="Arial" w:cs="Arial" w:eastAsia="Arial" w:hAnsi="Arial"/>
          <w:sz w:val="22"/>
          <w:szCs w:val="22"/>
        </w:rPr>
        <w:t xml:space="preserve">Oui, six (DEU p.429) : 4,1 Md€ en tout, coupon moyen 3,45 %. Une seule tombe avant fin 2027 : 500 M€ à 1,625 % en septembre 2026. La remplacer au coupon de la dernière émission (4,322 %) coûte 13 M€ de coupon par an ; ne pas la remplacer porte le levier fin 2027 à 2,87x. Le vrai sujet n'est pas le levier mais le prix du capital hybride, qui a presque triplé entre 2019 et 2025.</w:t>
      </w:r>
    </w:p>
    <w:p>
      <w:pPr>
        <w:spacing w:after="120" w:line="300"/>
      </w:pPr>
      <w:r>
        <w:rPr>
          <w:rFonts w:ascii="Arial" w:cs="Arial" w:eastAsia="Arial" w:hAnsi="Arial"/>
          <w:b/>
          <w:bCs/>
          <w:sz w:val="22"/>
          <w:szCs w:val="22"/>
        </w:rPr>
        <w:t xml:space="preserve">Où se place Veolia parmi ses pairs ?</w:t>
      </w:r>
    </w:p>
    <w:p>
      <w:pPr>
        <w:spacing w:after="120" w:line="300"/>
      </w:pPr>
      <w:r>
        <w:rPr>
          <w:rFonts w:ascii="Arial" w:cs="Arial" w:eastAsia="Arial" w:hAnsi="Arial"/>
          <w:sz w:val="22"/>
          <w:szCs w:val="22"/>
        </w:rPr>
        <w:t xml:space="preserve">Dans le tableau de Moody's (Exhibit 12, douze mois à juin 2025) : 20,3 % de FFO / dette nette pour Veolia, 20,3 % pour ACEA, 23,3 % pour Hera, tous trois Baa1 ; Suez, « Baa2 Negative », est à 11,4 %. L'écart avec Suez est de 8,9 % ; avec Hera, −3,0 %. Le seuil des « high teens » n'est pas une abstraction : c'est la zone où se trouve déjà le concurrent direct.</w:t>
      </w:r>
    </w:p>
    <w:p>
      <w:pPr>
        <w:spacing w:after="120" w:line="300"/>
      </w:pPr>
      <w:r>
        <w:rPr>
          <w:rFonts w:ascii="Arial" w:cs="Arial" w:eastAsia="Arial" w:hAnsi="Arial"/>
          <w:b/>
          <w:bCs/>
          <w:sz w:val="22"/>
          <w:szCs w:val="22"/>
        </w:rPr>
        <w:t xml:space="preserve">Comment reconstituez-vous le FFO de Moody's, qui ne publie pas sa formule ?</w:t>
      </w:r>
    </w:p>
    <w:p>
      <w:pPr>
        <w:spacing w:after="120" w:line="300"/>
      </w:pPr>
      <w:r>
        <w:rPr>
          <w:rFonts w:ascii="Arial" w:cs="Arial" w:eastAsia="Arial" w:hAnsi="Arial"/>
          <w:sz w:val="22"/>
          <w:szCs w:val="22"/>
        </w:rPr>
        <w:t xml:space="preserve">Depuis le tableau de flux du DEU (p.362-363) : capacité d'autofinancement avant BFR, moins impôts et intérêts payés, plus remboursements d'actifs financiers opérationnels et dividendes reçus : 5 157 M€ contre 5 160 publiés, écart −0,1 %. Même lecture en 2024 à moins de 2 % près : c'est un contrôle bloquant du classeur.</w:t>
      </w:r>
    </w:p>
    <w:p>
      <w:pPr>
        <w:spacing w:after="120" w:line="300"/>
      </w:pPr>
      <w:r>
        <w:rPr>
          <w:rFonts w:ascii="Arial" w:cs="Arial" w:eastAsia="Arial" w:hAnsi="Arial"/>
          <w:b/>
          <w:bCs/>
          <w:sz w:val="22"/>
          <w:szCs w:val="22"/>
        </w:rPr>
        <w:t xml:space="preserve">Pourquoi votre fin 2026 est-il crédible ?</w:t>
      </w:r>
    </w:p>
    <w:p>
      <w:pPr>
        <w:spacing w:after="120" w:line="300"/>
      </w:pPr>
      <w:r>
        <w:rPr>
          <w:rFonts w:ascii="Arial" w:cs="Arial" w:eastAsia="Arial" w:hAnsi="Arial"/>
          <w:sz w:val="22"/>
          <w:szCs w:val="22"/>
        </w:rPr>
        <w:t xml:space="preserve">Il n'utilise que la guidance de croissance (+5 à +6 %), le second semestre 2025 reproduit et la moitié des cessions signées : il tombe à 3,02x, ce que Veolia annonce.</w:t>
      </w:r>
    </w:p>
    <w:p>
      <w:r>
        <w:br w:type="page"/>
      </w:r>
    </w:p>
    <w:p>
      <w:pPr>
        <w:pStyle w:val="Heading1"/>
        <w:spacing w:after="120" w:before="240"/>
      </w:pPr>
      <w:r>
        <w:rPr>
          <w:rFonts w:ascii="Arial" w:cs="Arial" w:eastAsia="Arial" w:hAnsi="Arial"/>
        </w:rPr>
        <w:t xml:space="preserve">Rôle 3 — Capacité et sensibilité</w:t>
      </w:r>
    </w:p>
    <w:p>
      <w:pPr>
        <w:spacing w:after="120" w:line="300"/>
      </w:pPr>
      <w:r>
        <w:rPr>
          <w:rFonts w:ascii="Arial" w:cs="Arial" w:eastAsia="Arial" w:hAnsi="Arial"/>
          <w:i/>
          <w:iCs/>
          <w:color w:val="555555"/>
          <w:sz w:val="22"/>
          <w:szCs w:val="22"/>
        </w:rPr>
        <w:t xml:space="preserve">Le cash-flow libre, le programme de cessions et son calendrier, et ce qui fait le plus bouger la réponse.</w:t>
      </w:r>
    </w:p>
    <w:p>
      <w:pPr>
        <w:shd w:fill="FFF2A8" w:color="auto" w:val="clear"/>
        <w:spacing w:after="160" w:before="160"/>
      </w:pPr>
      <w:r>
        <w:rPr>
          <w:rFonts w:ascii="Arial" w:cs="Arial" w:eastAsia="Arial" w:hAnsi="Arial"/>
          <w:i/>
          <w:iCs/>
          <w:sz w:val="22"/>
          <w:szCs w:val="22"/>
        </w:rPr>
        <w:t xml:space="preserve">[Section signée par : ______ ] — dans le classeur : Trajectoire, Sensibilité, Cessions §C, Pont de dette, Pont EBITDA</w:t>
      </w:r>
    </w:p>
    <w:p>
      <w:pPr>
        <w:pStyle w:val="Heading2"/>
        <w:spacing w:after="120" w:before="240"/>
      </w:pPr>
      <w:r>
        <w:rPr>
          <w:rFonts w:ascii="Arial" w:cs="Arial" w:eastAsia="Arial" w:hAnsi="Arial"/>
        </w:rPr>
        <w:t xml:space="preserve">Réponse (générée depuis le classeur, à réécrire)</w:t>
      </w:r>
    </w:p>
    <w:p>
      <w:pPr>
        <w:spacing w:after="120" w:line="300"/>
      </w:pPr>
      <w:r>
        <w:rPr>
          <w:rFonts w:ascii="Arial" w:cs="Arial" w:eastAsia="Arial" w:hAnsi="Arial"/>
          <w:sz w:val="22"/>
          <w:szCs w:val="22"/>
        </w:rPr>
        <w:t xml:space="preserve">Le cash-flow libre net (1 178 M€ en 2025) paie à peine les dividendes : la marge vient de la croissance de l'EBITDA et des cessions. Ce qui bouge le plus la marge de fin 2027 : Part du reste du programme encaissée en 2027 (0,96 Md€); Croissance organique de l'EBITDA en 2027 (0,72 Md€); Tuck-ins payés en 2027 (0,68 Md€). Si tout tourne mal en même temps, la marge devient négative (−535 M€). Mais « tout en même temps » n'arrive presque jamais : sur 1 000 futurs tirés entre les bornes de chaque hypothèse, avec un facteur conjoncture commun (corrélation 0,4), 100 % tiennent les deux plafonds fin 2027 ; la marge contraignante médiane est de 1 460 M€, et 95 % des futurs dépassent 730 M€. Le risque n'est pas de franchir le plafond par la conjoncture : c'est de le franchir par une décision (une acquisition trop grande).</w:t>
      </w:r>
    </w:p>
    <w:p>
      <w:pPr>
        <w:pStyle w:val="Heading2"/>
        <w:spacing w:after="120" w:before="240"/>
      </w:pPr>
      <w:r>
        <w:rPr>
          <w:rFonts w:ascii="Arial" w:cs="Arial" w:eastAsia="Arial" w:hAnsi="Arial"/>
        </w:rPr>
        <w:t xml:space="preserve">Raisonnement (généré)</w:t>
      </w:r>
    </w:p>
    <w:p>
      <w:pPr>
        <w:pStyle w:val="ListParagraph"/>
        <w:numPr>
          <w:ilvl w:val="0"/>
          <w:numId w:val="7"/>
        </w:numPr>
        <w:spacing w:after="80"/>
      </w:pPr>
      <w:r>
        <w:rPr>
          <w:rFonts w:ascii="Arial" w:cs="Arial" w:eastAsia="Arial" w:hAnsi="Arial"/>
          <w:sz w:val="22"/>
          <w:szCs w:val="22"/>
        </w:rPr>
        <w:t xml:space="preserve">La saisonnalité d'abord : le premier semestre consomme du cash (BFR −1 238 M€), le second en rend (1 629 M€ en 2025). Toute analyse en juin doit en tenir compte.</w:t>
      </w:r>
    </w:p>
    <w:p>
      <w:pPr>
        <w:pStyle w:val="ListParagraph"/>
        <w:numPr>
          <w:ilvl w:val="0"/>
          <w:numId w:val="7"/>
        </w:numPr>
        <w:spacing w:after="80"/>
      </w:pPr>
      <w:r>
        <w:rPr>
          <w:rFonts w:ascii="Arial" w:cs="Arial" w:eastAsia="Arial" w:hAnsi="Arial"/>
          <w:sz w:val="22"/>
          <w:szCs w:val="22"/>
        </w:rPr>
        <w:t xml:space="preserve">Le calendrier : 0,1 Md€ encaissés, environ 0,5 Md€ de signatures attendues en 2026, le solde d'ici mi-2028. Signer n'est pas encaisser : le scénario central encaisse la moitié des signatures en 2026 et la moitié du reste en 2027.</w:t>
      </w:r>
    </w:p>
    <w:p>
      <w:pPr>
        <w:pStyle w:val="ListParagraph"/>
        <w:numPr>
          <w:ilvl w:val="0"/>
          <w:numId w:val="7"/>
        </w:numPr>
        <w:spacing w:after="80"/>
      </w:pPr>
      <w:r>
        <w:rPr>
          <w:rFonts w:ascii="Arial" w:cs="Arial" w:eastAsia="Arial" w:hAnsi="Arial"/>
          <w:sz w:val="22"/>
          <w:szCs w:val="22"/>
        </w:rPr>
        <w:t xml:space="preserve">Ce que vaut chaque levier sur la marge 2027 : EBITDA 2027 317, Cash-flow libre 100, Cessions (au multiple central) 70, Tuck-ins (au multiple des tuck-ins) −69, Dividendes −100, Dette requalifiée (hybrides, provisions) −100 (M€ pour +100 M€).</w:t>
      </w:r>
    </w:p>
    <w:p>
      <w:pPr>
        <w:pStyle w:val="ListParagraph"/>
        <w:numPr>
          <w:ilvl w:val="0"/>
          <w:numId w:val="7"/>
        </w:numPr>
        <w:spacing w:after="80"/>
      </w:pPr>
      <w:r>
        <w:rPr>
          <w:rFonts w:ascii="Arial" w:cs="Arial" w:eastAsia="Arial" w:hAnsi="Arial"/>
          <w:sz w:val="22"/>
          <w:szCs w:val="22"/>
        </w:rPr>
        <w:t xml:space="preserve">Le classement : 1. Part du reste du programme encaissée en 2027 (956 M€); 2. Croissance organique de l'EBITDA en 2027 (721 M€); 3. Tuck-ins payés en 2027 (677 M€); 4. Cash-flow libre net du S2 2026 (489 M€); 5. Conversion cash-flow libre net / EBITDA en 2027 (399 M€); 6. Croissance organique de l'EBITDA en 2026 (236 M€).</w:t>
      </w:r>
    </w:p>
    <w:p>
      <w:pPr>
        <w:pStyle w:val="ListParagraph"/>
        <w:numPr>
          <w:ilvl w:val="0"/>
          <w:numId w:val="7"/>
        </w:numPr>
        <w:spacing w:after="80"/>
      </w:pPr>
      <w:r>
        <w:rPr>
          <w:rFonts w:ascii="Arial" w:cs="Arial" w:eastAsia="Arial" w:hAnsi="Arial"/>
          <w:sz w:val="22"/>
          <w:szCs w:val="22"/>
        </w:rPr>
        <w:t xml:space="preserve">Les combinaisons : tout défavorable donne −535 M€, tout favorable 3 491 M€. La réponse dépend moins du point central que du calendrier des cessions.</w:t>
      </w:r>
    </w:p>
    <w:p>
      <w:pPr>
        <w:shd w:fill="FFF2A8" w:color="auto" w:val="clear"/>
        <w:spacing w:after="160" w:before="160"/>
      </w:pPr>
      <w:r>
        <w:rPr>
          <w:rFonts w:ascii="Arial" w:cs="Arial" w:eastAsia="Arial" w:hAnsi="Arial"/>
          <w:i/>
          <w:iCs/>
          <w:sz w:val="22"/>
          <w:szCs w:val="22"/>
        </w:rPr>
        <w:t xml:space="preserve">[À rédiger] 08_Livrables/texte/role-3.md : 6 à 9 pages, chaque chiffre cité par son jeton [F…] du registre.</w:t>
      </w:r>
    </w:p>
    <w:p>
      <w:pPr>
        <w:pStyle w:val="Heading2"/>
        <w:spacing w:after="120" w:before="240"/>
      </w:pPr>
      <w:r>
        <w:rPr>
          <w:rFonts w:ascii="Arial" w:cs="Arial" w:eastAsia="Arial" w:hAnsi="Arial"/>
        </w:rPr>
        <w:t xml:space="preserve">Chiffres cités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0"/>
        <w:gridCol w:w="3000"/>
        <w:gridCol w:w="1000"/>
        <w:gridCol w:w="1300"/>
        <w:gridCol w:w="2126"/>
        <w:gridCol w:w="700"/>
      </w:tblGrid>
      <w:tr>
        <w:trPr>
          <w:tblHeader/>
        </w:trPr>
        <w:tc>
          <w:tcPr>
            <w:tcW w:type="dxa" w:w="900"/>
            <w:shd w:fill="E7E6E6" w:color="auto" w:val="clear"/>
            <w:tcMar>
              <w:top w:type="dxa" w:w="40"/>
              <w:left w:type="dxa" w:w="80"/>
              <w:bottom w:type="dxa" w:w="40"/>
              <w:right w:type="dxa" w:w="80"/>
            </w:tcMar>
          </w:tcPr>
          <w:p>
            <w:pPr>
              <w:spacing w:after="0"/>
              <w:jc w:val="left"/>
            </w:pPr>
            <w:r>
              <w:rPr>
                <w:rFonts w:ascii="Arial" w:cs="Arial" w:eastAsia="Arial" w:hAnsi="Arial"/>
                <w:b/>
                <w:bCs/>
                <w:sz w:val="18"/>
                <w:szCs w:val="18"/>
              </w:rPr>
              <w:t xml:space="preserve">ID</w:t>
            </w:r>
          </w:p>
        </w:tc>
        <w:tc>
          <w:tcPr>
            <w:tcW w:type="dxa" w:w="3000"/>
            <w:shd w:fill="E7E6E6" w:color="auto" w:val="clear"/>
            <w:tcMar>
              <w:top w:type="dxa" w:w="40"/>
              <w:left w:type="dxa" w:w="80"/>
              <w:bottom w:type="dxa" w:w="40"/>
              <w:right w:type="dxa" w:w="80"/>
            </w:tcMar>
          </w:tcPr>
          <w:p>
            <w:pPr>
              <w:spacing w:after="0"/>
              <w:jc w:val="left"/>
            </w:pPr>
            <w:r>
              <w:rPr>
                <w:rFonts w:ascii="Arial" w:cs="Arial" w:eastAsia="Arial" w:hAnsi="Arial"/>
                <w:b/>
                <w:bCs/>
                <w:sz w:val="18"/>
                <w:szCs w:val="18"/>
              </w:rPr>
              <w:t xml:space="preserve">Chiffre</w:t>
            </w:r>
          </w:p>
        </w:tc>
        <w:tc>
          <w:tcPr>
            <w:tcW w:type="dxa" w:w="1000"/>
            <w:shd w:fill="E7E6E6" w:color="auto" w:val="clear"/>
            <w:tcMar>
              <w:top w:type="dxa" w:w="40"/>
              <w:left w:type="dxa" w:w="80"/>
              <w:bottom w:type="dxa" w:w="40"/>
              <w:right w:type="dxa" w:w="80"/>
            </w:tcMar>
          </w:tcPr>
          <w:p>
            <w:pPr>
              <w:spacing w:after="0"/>
              <w:jc w:val="left"/>
            </w:pPr>
            <w:r>
              <w:rPr>
                <w:rFonts w:ascii="Arial" w:cs="Arial" w:eastAsia="Arial" w:hAnsi="Arial"/>
                <w:b/>
                <w:bCs/>
                <w:sz w:val="18"/>
                <w:szCs w:val="18"/>
              </w:rPr>
              <w:t xml:space="preserve">Période</w:t>
            </w:r>
          </w:p>
        </w:tc>
        <w:tc>
          <w:tcPr>
            <w:tcW w:type="dxa" w:w="1300"/>
            <w:shd w:fill="E7E6E6" w:color="auto" w:val="clear"/>
            <w:tcMar>
              <w:top w:type="dxa" w:w="40"/>
              <w:left w:type="dxa" w:w="80"/>
              <w:bottom w:type="dxa" w:w="40"/>
              <w:right w:type="dxa" w:w="80"/>
            </w:tcMar>
          </w:tcPr>
          <w:p>
            <w:pPr>
              <w:spacing w:after="0"/>
              <w:jc w:val="left"/>
            </w:pPr>
            <w:r>
              <w:rPr>
                <w:rFonts w:ascii="Arial" w:cs="Arial" w:eastAsia="Arial" w:hAnsi="Arial"/>
                <w:b/>
                <w:bCs/>
                <w:sz w:val="18"/>
                <w:szCs w:val="18"/>
              </w:rPr>
              <w:t xml:space="preserve">Valeur</w:t>
            </w:r>
          </w:p>
        </w:tc>
        <w:tc>
          <w:tcPr>
            <w:tcW w:type="dxa" w:w="2126"/>
            <w:shd w:fill="E7E6E6" w:color="auto" w:val="clear"/>
            <w:tcMar>
              <w:top w:type="dxa" w:w="40"/>
              <w:left w:type="dxa" w:w="80"/>
              <w:bottom w:type="dxa" w:w="40"/>
              <w:right w:type="dxa" w:w="80"/>
            </w:tcMar>
          </w:tcPr>
          <w:p>
            <w:pPr>
              <w:spacing w:after="0"/>
              <w:jc w:val="left"/>
            </w:pPr>
            <w:r>
              <w:rPr>
                <w:rFonts w:ascii="Arial" w:cs="Arial" w:eastAsia="Arial" w:hAnsi="Arial"/>
                <w:b/>
                <w:bCs/>
                <w:sz w:val="18"/>
                <w:szCs w:val="18"/>
              </w:rPr>
              <w:t xml:space="preserve">Source (fichier, page)</w:t>
            </w:r>
          </w:p>
        </w:tc>
        <w:tc>
          <w:tcPr>
            <w:tcW w:type="dxa" w:w="700"/>
            <w:shd w:fill="E7E6E6" w:color="auto" w:val="clear"/>
            <w:tcMar>
              <w:top w:type="dxa" w:w="40"/>
              <w:left w:type="dxa" w:w="80"/>
              <w:bottom w:type="dxa" w:w="40"/>
              <w:right w:type="dxa" w:w="80"/>
            </w:tcMar>
          </w:tcPr>
          <w:p>
            <w:pPr>
              <w:spacing w:after="0"/>
              <w:jc w:val="left"/>
            </w:pPr>
            <w:r>
              <w:rPr>
                <w:rFonts w:ascii="Arial" w:cs="Arial" w:eastAsia="Arial" w:hAnsi="Arial"/>
                <w:b/>
                <w:bCs/>
                <w:sz w:val="18"/>
                <w:szCs w:val="18"/>
              </w:rPr>
              <w:t xml:space="preserve">Relu par</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F13</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Cash-flow libre net</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FY2024</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1 156 M€</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annual-resultats-2025.pdf, p. 1</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F29</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Cash-flow libre net</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1 178 M€</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annual-resultats-2025.pdf, p. 1</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F70</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Cash-flow libre net, S1</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S1 2025</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−451 M€</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veolia_finance_amendment_urd_2025.pdf, p. 25</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F28</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Cash-flow libre net, S1</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S1 2026</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−288 M€</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veolia_finance_amendment_urd_2025.pdf, p. 25</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calcul</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Cash-flow libre net du S2 2025</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1 629 M EUR</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année − S1</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F83</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Variation du BFR, S1</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S1 2026</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−1 238 M€</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veolia_finance_amendment_urd_2025.pdf, p. 26</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F4</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Investissements nets</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3 855 M€</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annual-resultats-2025.pdf, p. 1</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F74</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Dividende versé aux actionnaires</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2026</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1 099 M€</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veolia_finance_amendment_urd_2025.pdf, p. 25</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F72</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Dividendes versés, minoritaires compris</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S1 2026</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−1 394 M€</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veolia_finance_amendment_urd_2025.pdf, p. 26</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F25</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Programme de cessions (au moins)</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2026-2028</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2 Md€</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veolia-amendement-deu-2025-s1-2026.pdf, p. 29</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F30</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Cessions réalisées</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S1 2026</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0,1 Md€</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veolia_finance_presentation_h1_2026_results.pdf, p. 14</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F31</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Signatures attendues</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2026</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0,5 Md€</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veolia_finance_presentation_h1_2026_results.pdf, p. 14</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calcul</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Calendrier central S2 2026 / 2027 / S1 2028</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0,25 / 0,95 / 0,70 Md EUR</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hypothèses s26 et s27</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F87</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Guidance croissance organique EBITDA, bas</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2026</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5 %</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veolia-2026-first-half-results.pdf, p. 3</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F88</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 haut</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2026</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6 %</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veolia-2026-first-half-results.pdf, p. 3</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calcul</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Cash-flow libre net 2027 (modèle)</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1 327 M EUR</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conversion moyenne 2024-2025</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calcul</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Dividendes 2027 (modèle)</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1 482 M EUR</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+8 %, minoritaires constants</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calcul</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Marge centrale fin 2027</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1 571 M EUR</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défavorable −535 · favorable 3 491</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calcul</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EBITDA cédé par le programme au multiple central</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200 M EUR</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13 % de l'EBITDA des déchets solides, 4 % des strongholds</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F441</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Déchets solides : EBITDA</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1 566 M€</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finance_veolia_2025_full_year_results_presentation_0.pdf, p. 24</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F431</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Strongholds : EBITDA</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5 383 M€</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finance_veolia_2025_full_year_results_presentation_0.pdf, p. 24</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F450</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Chiffre d'affaires en France</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8 547 M€</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375</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F463</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Chiffre d'affaires au Maroc (après Lydec)</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932 M€</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375</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F470</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Chiffre d'affaires des pays de moins de 500 M€</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7 207 M€</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375</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calcul</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Cessions réalisées 2022 → S1 2026 (deals.csv)</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1 585 M EUR</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14 opérations, 113 M€ en moyenne, la plus grande 580</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calcul</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Rythme passé de cessions</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374 M EUR / an</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 Md€ demandent 5,3 ans à ce rythme, ou 18 opérations moyennes</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bl>
    <w:p>
      <w:pPr>
        <w:pStyle w:val="Heading2"/>
        <w:spacing w:after="120" w:before="240"/>
      </w:pPr>
      <w:r>
        <w:rPr>
          <w:rFonts w:ascii="Arial" w:cs="Arial" w:eastAsia="Arial" w:hAnsi="Arial"/>
        </w:rPr>
        <w:t xml:space="preserve">Ce que nous n'avons pas pu établir</w:t>
      </w:r>
    </w:p>
    <w:p>
      <w:pPr>
        <w:pStyle w:val="ListParagraph"/>
        <w:numPr>
          <w:ilvl w:val="0"/>
          <w:numId w:val="5"/>
        </w:numPr>
        <w:spacing w:after="80"/>
      </w:pPr>
      <w:r>
        <w:rPr>
          <w:rFonts w:ascii="Arial" w:cs="Arial" w:eastAsia="Arial" w:hAnsi="Arial"/>
          <w:sz w:val="22"/>
          <w:szCs w:val="22"/>
        </w:rPr>
        <w:t xml:space="preserve">Aucun multiple de cession n'est publié : on suppose 10x, entre 8x et 12x. Les produits de cession passés (deals.csv) sont des encaissements, pas des valeurs d'entreprise : ils disent le rythme, pas le prix.</w:t>
      </w:r>
    </w:p>
    <w:p>
      <w:pPr>
        <w:pStyle w:val="ListParagraph"/>
        <w:numPr>
          <w:ilvl w:val="0"/>
          <w:numId w:val="5"/>
        </w:numPr>
        <w:spacing w:after="80"/>
      </w:pPr>
      <w:r>
        <w:rPr>
          <w:rFonts w:ascii="Arial" w:cs="Arial" w:eastAsia="Arial" w:hAnsi="Arial"/>
          <w:sz w:val="22"/>
          <w:szCs w:val="22"/>
        </w:rPr>
        <w:t xml:space="preserve">Aucun dividende n'est supposé versé au second semestre ; le change n'est pas prolongé.</w:t>
      </w:r>
    </w:p>
    <w:p>
      <w:pPr>
        <w:pStyle w:val="ListParagraph"/>
        <w:numPr>
          <w:ilvl w:val="0"/>
          <w:numId w:val="5"/>
        </w:numPr>
        <w:spacing w:after="80"/>
      </w:pPr>
      <w:r>
        <w:rPr>
          <w:rFonts w:ascii="Arial" w:cs="Arial" w:eastAsia="Arial" w:hAnsi="Arial"/>
          <w:sz w:val="22"/>
          <w:szCs w:val="22"/>
        </w:rPr>
        <w:t xml:space="preserve">Le pont de dette 2025 du communiqué laisse 398 M€ de flux non détaillés (dont au moins 244 M€ de dividendes aux minoritaires).</w:t>
      </w:r>
    </w:p>
    <w:p>
      <w:pPr>
        <w:pStyle w:val="Heading2"/>
        <w:spacing w:after="120" w:before="240"/>
      </w:pPr>
      <w:r>
        <w:rPr>
          <w:rFonts w:ascii="Arial" w:cs="Arial" w:eastAsia="Arial" w:hAnsi="Arial"/>
        </w:rPr>
        <w:t xml:space="preserve">Questions probables du jury</w:t>
      </w:r>
    </w:p>
    <w:p>
      <w:pPr>
        <w:spacing w:after="120" w:line="300"/>
      </w:pPr>
      <w:r>
        <w:rPr>
          <w:rFonts w:ascii="Arial" w:cs="Arial" w:eastAsia="Arial" w:hAnsi="Arial"/>
          <w:b/>
          <w:bCs/>
          <w:sz w:val="22"/>
          <w:szCs w:val="22"/>
        </w:rPr>
        <w:t xml:space="preserve">Que peut vendre Veolia, concrètement ?</w:t>
      </w:r>
    </w:p>
    <w:p>
      <w:pPr>
        <w:spacing w:after="120" w:line="300"/>
      </w:pPr>
      <w:r>
        <w:rPr>
          <w:rFonts w:ascii="Arial" w:cs="Arial" w:eastAsia="Arial" w:hAnsi="Arial"/>
          <w:sz w:val="22"/>
          <w:szCs w:val="22"/>
        </w:rPr>
        <w:t xml:space="preserve">Ce que GreenUp appelle les activités matures (p.64) : construction, facility management, collecte. Le programme de 2 Md€ retire 200 M€ d'EBITDA au multiple central, soit 13 % de l'EBITDA des déchets solides (1 566 M€) et 2,8 % du chiffre d'affaires du groupe, réparti sur 17 pays de plus de 500 M€ (DEU p.375). Les actifs existent ; la question est le rythme : depuis 2022, 14 cessions pour 1 585 M€, 113 M€ en moyenne — 2 Md€ en deux ans, c'est 5,3 années du rythme passé.</w:t>
      </w:r>
    </w:p>
    <w:p>
      <w:pPr>
        <w:spacing w:after="120" w:line="300"/>
      </w:pPr>
      <w:r>
        <w:rPr>
          <w:rFonts w:ascii="Arial" w:cs="Arial" w:eastAsia="Arial" w:hAnsi="Arial"/>
          <w:b/>
          <w:bCs/>
          <w:sz w:val="22"/>
          <w:szCs w:val="22"/>
        </w:rPr>
        <w:t xml:space="preserve">Quelle est l'hypothèse la plus fragile du modèle ?</w:t>
      </w:r>
    </w:p>
    <w:p>
      <w:pPr>
        <w:spacing w:after="120" w:line="300"/>
      </w:pPr>
      <w:r>
        <w:rPr>
          <w:rFonts w:ascii="Arial" w:cs="Arial" w:eastAsia="Arial" w:hAnsi="Arial"/>
          <w:sz w:val="22"/>
          <w:szCs w:val="22"/>
        </w:rPr>
        <w:t xml:space="preserve">La croissance organique de l'EBITDA (g26, g27), parce qu'elle est faite d'efficacité : 90 % de l'organique 2026 du modèle (388 M€), c'est le programme de 350 M€ par an de GreenUp. Un programme de coûts se tient ou ne se tient pas ; la sensibilité de Trajectoire (g26 bas, g27 bas) en donne la version douce, l'onglet Pont EBITDA §D la version dure : −529 M€ de marge si rien n'est livré.</w:t>
      </w:r>
    </w:p>
    <w:p>
      <w:pPr>
        <w:spacing w:after="120" w:line="300"/>
      </w:pPr>
      <w:r>
        <w:rPr>
          <w:rFonts w:ascii="Arial" w:cs="Arial" w:eastAsia="Arial" w:hAnsi="Arial"/>
          <w:b/>
          <w:bCs/>
          <w:sz w:val="22"/>
          <w:szCs w:val="22"/>
        </w:rPr>
        <w:t xml:space="preserve">Pourquoi croire la guidance ?</w:t>
      </w:r>
    </w:p>
    <w:p>
      <w:pPr>
        <w:spacing w:after="120" w:line="300"/>
      </w:pPr>
      <w:r>
        <w:rPr>
          <w:rFonts w:ascii="Arial" w:cs="Arial" w:eastAsia="Arial" w:hAnsi="Arial"/>
          <w:sz w:val="22"/>
          <w:szCs w:val="22"/>
        </w:rPr>
        <w:t xml:space="preserve">Parce que Veolia a tenu ses objectifs financiers depuis 2020 : 8 / 8 dans notre tableau (Impact 2023 : 6,5 Md€ d'EBITDA pour 4,7 à 4,9 visés ; guidance 2025 : +5 à +6 % d'EBITDA organique, réalisé +6,3 %). Les objectifs manqués sont non financiers (465 kt de plastiques pour 610 visés, mixité). C'est ce qui donne au scénario central plus de poids qu'au défavorable — sans effacer la dépendance à l'efficacité (Pont EBITDA §D).</w:t>
      </w:r>
    </w:p>
    <w:p>
      <w:pPr>
        <w:spacing w:after="120" w:line="300"/>
      </w:pPr>
      <w:r>
        <w:rPr>
          <w:rFonts w:ascii="Arial" w:cs="Arial" w:eastAsia="Arial" w:hAnsi="Arial"/>
          <w:b/>
          <w:bCs/>
          <w:sz w:val="22"/>
          <w:szCs w:val="22"/>
        </w:rPr>
        <w:t xml:space="preserve">Et l'énergie, le dollar, les taux ?</w:t>
      </w:r>
    </w:p>
    <w:p>
      <w:pPr>
        <w:spacing w:after="120" w:line="300"/>
      </w:pPr>
      <w:r>
        <w:rPr>
          <w:rFonts w:ascii="Arial" w:cs="Arial" w:eastAsia="Arial" w:hAnsi="Arial"/>
          <w:sz w:val="22"/>
          <w:szCs w:val="22"/>
        </w:rPr>
        <w:t xml:space="preserve">Des entrées externes que le DEU chiffre : l'énergie et les recyclats ont coûté −30 M€ d'EBITDA en 2025 et −60 M€ au seul S1 2026 — une année comme ce semestre coûterait 360 M€ de marge sous 3x. La dette en dollars (2 455 M€) ajoute 246 M€ de dette si le dollar monte de 10 % ; la position nette à taux variable (−2 992 M€) coûte 30 M€ par point de taux. Aucune ne pèse autant que les cessions ou l'efficacité, mais elles s'additionnent (Sensibilité, bloc Macro).</w:t>
      </w:r>
    </w:p>
    <w:p>
      <w:pPr>
        <w:spacing w:after="120" w:line="300"/>
      </w:pPr>
      <w:r>
        <w:rPr>
          <w:rFonts w:ascii="Arial" w:cs="Arial" w:eastAsia="Arial" w:hAnsi="Arial"/>
          <w:b/>
          <w:bCs/>
          <w:sz w:val="22"/>
          <w:szCs w:val="22"/>
        </w:rPr>
        <w:t xml:space="preserve">Votre fourchette est-elle une probabilité ?</w:t>
      </w:r>
    </w:p>
    <w:p>
      <w:pPr>
        <w:spacing w:after="120" w:line="300"/>
      </w:pPr>
      <w:r>
        <w:rPr>
          <w:rFonts w:ascii="Arial" w:cs="Arial" w:eastAsia="Arial" w:hAnsi="Arial"/>
          <w:sz w:val="22"/>
          <w:szCs w:val="22"/>
        </w:rPr>
        <w:t xml:space="preserve">Oui depuis l'onglet Distribution : chaque hypothèse est tirée dans une loi triangulaire entre ses bornes (le sommet à la base), un facteur « conjoncture » fait bouger ensemble croissance, cash-flow, cessions et multiples (poids 0,4, hypothèse du groupe). Sur 1 000 futurs : 100 % tiennent les deux plafonds, 0 % passent sous le seuil S&amp;P fin 2026, 40 % atteignent 8 Md€ d'EBITDA. Les tirages sont fixés par une graine : le classeur redonne les mêmes nombres, et le simulateur web, qui lit les mêmes formules, aussi.</w:t>
      </w:r>
    </w:p>
    <w:p>
      <w:pPr>
        <w:spacing w:after="120" w:line="300"/>
      </w:pPr>
      <w:r>
        <w:rPr>
          <w:rFonts w:ascii="Arial" w:cs="Arial" w:eastAsia="Arial" w:hAnsi="Arial"/>
          <w:b/>
          <w:bCs/>
          <w:sz w:val="22"/>
          <w:szCs w:val="22"/>
        </w:rPr>
        <w:t xml:space="preserve">Et si les cessions glissent en 2028 ?</w:t>
      </w:r>
    </w:p>
    <w:p>
      <w:pPr>
        <w:spacing w:after="120" w:line="300"/>
      </w:pPr>
      <w:r>
        <w:rPr>
          <w:rFonts w:ascii="Arial" w:cs="Arial" w:eastAsia="Arial" w:hAnsi="Arial"/>
          <w:sz w:val="22"/>
          <w:szCs w:val="22"/>
        </w:rPr>
        <w:t xml:space="preserve">Sans rien encaisser du reste du programme en 2027, la marge tombe de 1 571 à 1 092 M€. C'est le premier facteur.</w:t>
      </w:r>
    </w:p>
    <w:p>
      <w:pPr>
        <w:spacing w:after="120" w:line="300"/>
      </w:pPr>
      <w:r>
        <w:rPr>
          <w:rFonts w:ascii="Arial" w:cs="Arial" w:eastAsia="Arial" w:hAnsi="Arial"/>
          <w:b/>
          <w:bCs/>
          <w:sz w:val="22"/>
          <w:szCs w:val="22"/>
        </w:rPr>
        <w:t xml:space="preserve">Pourquoi ne pas couper le dividende ?</w:t>
      </w:r>
    </w:p>
    <w:p>
      <w:pPr>
        <w:spacing w:after="120" w:line="300"/>
      </w:pPr>
      <w:r>
        <w:rPr>
          <w:rFonts w:ascii="Arial" w:cs="Arial" w:eastAsia="Arial" w:hAnsi="Arial"/>
          <w:sz w:val="22"/>
          <w:szCs w:val="22"/>
        </w:rPr>
        <w:t xml:space="preserve">GreenUp s'engage sur un dividende qui suit le bénéfice par action (p.66). Le modèle le traite comme un engagement ; chaque 100 M€ économisés vaudrait 100 M€ de marge.</w:t>
      </w:r>
    </w:p>
    <w:p>
      <w:pPr>
        <w:spacing w:after="120" w:line="300"/>
      </w:pPr>
      <w:r>
        <w:rPr>
          <w:rFonts w:ascii="Arial" w:cs="Arial" w:eastAsia="Arial" w:hAnsi="Arial"/>
          <w:b/>
          <w:bCs/>
          <w:sz w:val="22"/>
          <w:szCs w:val="22"/>
        </w:rPr>
        <w:t xml:space="preserve">Pourquoi le multiple de cession compte-t-il ?</w:t>
      </w:r>
    </w:p>
    <w:p>
      <w:pPr>
        <w:spacing w:after="120" w:line="300"/>
      </w:pPr>
      <w:r>
        <w:rPr>
          <w:rFonts w:ascii="Arial" w:cs="Arial" w:eastAsia="Arial" w:hAnsi="Arial"/>
          <w:sz w:val="22"/>
          <w:szCs w:val="22"/>
        </w:rPr>
        <w:t xml:space="preserve">Chaque euro encaissé réduit la dette d'un euro mais retire 1/multiple d'EBITDA, soit trois fois plus de capacité : à 10x, 100 M€ de cessions ne libèrent que 70 M€ de marge.</w:t>
      </w:r>
    </w:p>
    <w:p>
      <w:r>
        <w:br w:type="page"/>
      </w:r>
    </w:p>
    <w:p>
      <w:pPr>
        <w:pStyle w:val="Heading1"/>
        <w:spacing w:after="120" w:before="240"/>
      </w:pPr>
      <w:r>
        <w:rPr>
          <w:rFonts w:ascii="Arial" w:cs="Arial" w:eastAsia="Arial" w:hAnsi="Arial"/>
        </w:rPr>
        <w:t xml:space="preserve">Rôle 4 — L'écart et les comparables</w:t>
      </w:r>
    </w:p>
    <w:p>
      <w:pPr>
        <w:spacing w:after="120" w:line="300"/>
      </w:pPr>
      <w:r>
        <w:rPr>
          <w:rFonts w:ascii="Arial" w:cs="Arial" w:eastAsia="Arial" w:hAnsi="Arial"/>
          <w:i/>
          <w:iCs/>
          <w:color w:val="555555"/>
          <w:sz w:val="22"/>
          <w:szCs w:val="22"/>
        </w:rPr>
        <w:t xml:space="preserve">Où se situe le booster face à 2027, et qui est réellement comparable.</w:t>
      </w:r>
    </w:p>
    <w:p>
      <w:pPr>
        <w:shd w:fill="FFF2A8" w:color="auto" w:val="clear"/>
        <w:spacing w:after="160" w:before="160"/>
      </w:pPr>
      <w:r>
        <w:rPr>
          <w:rFonts w:ascii="Arial" w:cs="Arial" w:eastAsia="Arial" w:hAnsi="Arial"/>
          <w:i/>
          <w:iCs/>
          <w:sz w:val="22"/>
          <w:szCs w:val="22"/>
        </w:rPr>
        <w:t xml:space="preserve">[Section signée par : ______ ] — dans le classeur : Segments, Pont EBITDA, Booster</w:t>
      </w:r>
    </w:p>
    <w:p>
      <w:pPr>
        <w:pStyle w:val="Heading2"/>
        <w:spacing w:after="120" w:before="240"/>
      </w:pPr>
      <w:r>
        <w:rPr>
          <w:rFonts w:ascii="Arial" w:cs="Arial" w:eastAsia="Arial" w:hAnsi="Arial"/>
        </w:rPr>
        <w:t xml:space="preserve">Réponse (générée depuis le classeur, à réécrire)</w:t>
      </w:r>
    </w:p>
    <w:p>
      <w:pPr>
        <w:spacing w:after="120" w:line="300"/>
      </w:pPr>
      <w:r>
        <w:rPr>
          <w:rFonts w:ascii="Arial" w:cs="Arial" w:eastAsia="Arial" w:hAnsi="Arial"/>
          <w:sz w:val="22"/>
          <w:szCs w:val="22"/>
        </w:rPr>
        <w:t xml:space="preserve">En volume, l'objectif est passé de 10 Mt (« déchets dangereux et polluants ») à 9 Mt : Veolia, à 9 181 kt, tient l'objectif révisé mais reste à 819 kt de l'initial. En valeur, l'ambition de plus de 10 % par an d'EBITDA repose sur Clean Earth : en Europe, le chiffre d'affaires recule de 0,2 % en organique. Côté segments, la croissance vient des Amériques (EBITDA organique +9,3 %) et de Water Technologies (+14,1 %), pas de l'Europe (+1,8 %) : au rythme de 2025, l'EBITDA 2027 atteindrait 8,09 Md€, l'objectif tient. Chez Clean Harbors, le comparable direct, la marge est de 19,4 % ; chez Clean Earth vu par son vendeur, 15,9 % sur un EBITDA 2025 reconstitué de 155 M$, un tiers sous les 200 M$ 2026E de Veolia. Les 8 Md€ sont d'abord un plan de coûts : l'efficacité promise (350 M€ par an, GreenUp p.58) couvre 93 % de l'écart entre la base 2023 (6,5 Md€) et l'objectif ; en 2025, les 399 M€ de gains d'efficacité expliquent 93 % de la croissance organique de l'EBITDA (+6,3 %, soit ~428 M€), et hors efficacité et synergies Suez l'EBITDA organique recule d'environ 70 M€. Sans efficacité en 2026-2027, la marge sous 3x fin 2027 passe de 1 571 à −529 M€.</w:t>
      </w:r>
    </w:p>
    <w:p>
      <w:pPr>
        <w:pStyle w:val="Heading2"/>
        <w:spacing w:after="120" w:before="240"/>
      </w:pPr>
      <w:r>
        <w:rPr>
          <w:rFonts w:ascii="Arial" w:cs="Arial" w:eastAsia="Arial" w:hAnsi="Arial"/>
        </w:rPr>
        <w:t xml:space="preserve">Raisonnement (généré)</w:t>
      </w:r>
    </w:p>
    <w:p>
      <w:pPr>
        <w:pStyle w:val="ListParagraph"/>
        <w:numPr>
          <w:ilvl w:val="0"/>
          <w:numId w:val="8"/>
        </w:numPr>
        <w:spacing w:after="80"/>
      </w:pPr>
      <w:r>
        <w:rPr>
          <w:rFonts w:ascii="Arial" w:cs="Arial" w:eastAsia="Arial" w:hAnsi="Arial"/>
          <w:sz w:val="22"/>
          <w:szCs w:val="22"/>
        </w:rPr>
        <w:t xml:space="preserve">Volumes : l'objectif a changé de niveau et de périmètre entre GreenUp (2024) et le DEU 2025. Le dire avant de comparer.</w:t>
      </w:r>
    </w:p>
    <w:p>
      <w:pPr>
        <w:pStyle w:val="ListParagraph"/>
        <w:numPr>
          <w:ilvl w:val="0"/>
          <w:numId w:val="8"/>
        </w:numPr>
        <w:spacing w:after="80"/>
      </w:pPr>
      <w:r>
        <w:rPr>
          <w:rFonts w:ascii="Arial" w:cs="Arial" w:eastAsia="Arial" w:hAnsi="Arial"/>
          <w:sz w:val="22"/>
          <w:szCs w:val="22"/>
        </w:rPr>
        <w:t xml:space="preserve">Profil financier : avec Clean Earth, le métier pèse 5,2 Md€ de chiffre d'affaires et 0,9 Md€ d'EBITDA. À +10 % par an depuis ce pro forma, on viserait environ 1,09 Md€ en 2027 (illustratif).</w:t>
      </w:r>
    </w:p>
    <w:p>
      <w:pPr>
        <w:pStyle w:val="ListParagraph"/>
        <w:numPr>
          <w:ilvl w:val="0"/>
          <w:numId w:val="8"/>
        </w:numPr>
        <w:spacing w:after="80"/>
      </w:pPr>
      <w:r>
        <w:rPr>
          <w:rFonts w:ascii="Arial" w:cs="Arial" w:eastAsia="Arial" w:hAnsi="Arial"/>
          <w:sz w:val="22"/>
          <w:szCs w:val="22"/>
        </w:rPr>
        <w:t xml:space="preserve">Moteur organique : l'Europe est à −0,2 % au S1 2026, les Amériques progressent de 10,9 % en publié. La croissance du booster est achetée plus que générée.</w:t>
      </w:r>
    </w:p>
    <w:p>
      <w:pPr>
        <w:pStyle w:val="ListParagraph"/>
        <w:numPr>
          <w:ilvl w:val="0"/>
          <w:numId w:val="8"/>
        </w:numPr>
        <w:spacing w:after="80"/>
      </w:pPr>
      <w:r>
        <w:rPr>
          <w:rFonts w:ascii="Arial" w:cs="Arial" w:eastAsia="Arial" w:hAnsi="Arial"/>
          <w:sz w:val="22"/>
          <w:szCs w:val="22"/>
        </w:rPr>
        <w:t xml:space="preserve">Les segments (question 1 du cours) : Amériques +9,3 % et Water Technologies +14,1 % d'EBITDA organique en 2025, Europe +1,8 %, France-DD +6 % publié. Les boosters font 13 191 M€ de CA et 1 668 M€ d'EBITDA (+12,1 % organique). Prolongé deux ans, ce rythme donne 8,09 Md€ en 2027 : l'objectif tient, mais par les Amériques et les technologies de l'eau, pas par l'Europe.</w:t>
      </w:r>
    </w:p>
    <w:p>
      <w:pPr>
        <w:pStyle w:val="ListParagraph"/>
        <w:numPr>
          <w:ilvl w:val="0"/>
          <w:numId w:val="8"/>
        </w:numPr>
        <w:spacing w:after="80"/>
      </w:pPr>
      <w:r>
        <w:rPr>
          <w:rFonts w:ascii="Arial" w:cs="Arial" w:eastAsia="Arial" w:hAnsi="Arial"/>
          <w:sz w:val="22"/>
          <w:szCs w:val="22"/>
        </w:rPr>
        <w:t xml:space="preserve">Clean Earth vu du vendeur : 973,9 M$ de chiffre d'affaires et 91,7 M$ de résultat opérationnel en 2025, soit 155 M$ d'EBITDA une fois les 63,4 M$ de D&amp;A rajoutés. Veolia paie 9,8x un EBITDA 2026E de 200 M$, 29 % plus haut : sur l'EBITDA du vendeur, le prix ressort à 19,3x.</w:t>
      </w:r>
    </w:p>
    <w:p>
      <w:pPr>
        <w:pStyle w:val="ListParagraph"/>
        <w:numPr>
          <w:ilvl w:val="0"/>
          <w:numId w:val="8"/>
        </w:numPr>
        <w:spacing w:after="80"/>
      </w:pPr>
      <w:r>
        <w:rPr>
          <w:rFonts w:ascii="Arial" w:cs="Arial" w:eastAsia="Arial" w:hAnsi="Arial"/>
          <w:sz w:val="22"/>
          <w:szCs w:val="22"/>
        </w:rPr>
        <w:t xml:space="preserve">Comparabilité : même mix (incinération, traitement physico-chimique, centres de stockage spécialisés), même géographie que le booster américain, et même définition d'EBITDA et de levier — Clean Harbors publie un EBITDA « ajusté » selon sa propre définition, Veolia un EBITDA IFRS 16 inclus.</w:t>
      </w:r>
    </w:p>
    <w:p>
      <w:pPr>
        <w:pStyle w:val="ListParagraph"/>
        <w:numPr>
          <w:ilvl w:val="0"/>
          <w:numId w:val="8"/>
        </w:numPr>
        <w:spacing w:after="80"/>
      </w:pPr>
      <w:r>
        <w:rPr>
          <w:rFonts w:ascii="Arial" w:cs="Arial" w:eastAsia="Arial" w:hAnsi="Arial"/>
          <w:sz w:val="22"/>
          <w:szCs w:val="22"/>
        </w:rPr>
        <w:t xml:space="preserve">Candidats : Clean Harbors (États-Unis, concurrent direct de Clean Earth, dans la dataroom), Enviri (le vendeur : ses comptes donnent l'historique de la cible). Republic Services n'est comparable que par sa filiale US Ecology.</w:t>
      </w:r>
    </w:p>
    <w:p>
      <w:pPr>
        <w:shd w:fill="FFF2A8" w:color="auto" w:val="clear"/>
        <w:spacing w:after="160" w:before="160"/>
      </w:pPr>
      <w:r>
        <w:rPr>
          <w:rFonts w:ascii="Arial" w:cs="Arial" w:eastAsia="Arial" w:hAnsi="Arial"/>
          <w:i/>
          <w:iCs/>
          <w:sz w:val="22"/>
          <w:szCs w:val="22"/>
        </w:rPr>
        <w:t xml:space="preserve">[À rédiger] 08_Livrables/texte/role-4.md : 6 à 9 pages, chaque chiffre cité par son jeton [F…] du registre.</w:t>
      </w:r>
    </w:p>
    <w:p>
      <w:pPr>
        <w:pStyle w:val="Heading2"/>
        <w:spacing w:after="120" w:before="240"/>
      </w:pPr>
      <w:r>
        <w:rPr>
          <w:rFonts w:ascii="Arial" w:cs="Arial" w:eastAsia="Arial" w:hAnsi="Arial"/>
        </w:rPr>
        <w:t xml:space="preserve">Chiffres cités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0"/>
        <w:gridCol w:w="3000"/>
        <w:gridCol w:w="1000"/>
        <w:gridCol w:w="1300"/>
        <w:gridCol w:w="2126"/>
        <w:gridCol w:w="700"/>
      </w:tblGrid>
      <w:tr>
        <w:trPr>
          <w:tblHeader/>
        </w:trPr>
        <w:tc>
          <w:tcPr>
            <w:tcW w:type="dxa" w:w="900"/>
            <w:shd w:fill="E7E6E6" w:color="auto" w:val="clear"/>
            <w:tcMar>
              <w:top w:type="dxa" w:w="40"/>
              <w:left w:type="dxa" w:w="80"/>
              <w:bottom w:type="dxa" w:w="40"/>
              <w:right w:type="dxa" w:w="80"/>
            </w:tcMar>
          </w:tcPr>
          <w:p>
            <w:pPr>
              <w:spacing w:after="0"/>
              <w:jc w:val="left"/>
            </w:pPr>
            <w:r>
              <w:rPr>
                <w:rFonts w:ascii="Arial" w:cs="Arial" w:eastAsia="Arial" w:hAnsi="Arial"/>
                <w:b/>
                <w:bCs/>
                <w:sz w:val="18"/>
                <w:szCs w:val="18"/>
              </w:rPr>
              <w:t xml:space="preserve">ID</w:t>
            </w:r>
          </w:p>
        </w:tc>
        <w:tc>
          <w:tcPr>
            <w:tcW w:type="dxa" w:w="3000"/>
            <w:shd w:fill="E7E6E6" w:color="auto" w:val="clear"/>
            <w:tcMar>
              <w:top w:type="dxa" w:w="40"/>
              <w:left w:type="dxa" w:w="80"/>
              <w:bottom w:type="dxa" w:w="40"/>
              <w:right w:type="dxa" w:w="80"/>
            </w:tcMar>
          </w:tcPr>
          <w:p>
            <w:pPr>
              <w:spacing w:after="0"/>
              <w:jc w:val="left"/>
            </w:pPr>
            <w:r>
              <w:rPr>
                <w:rFonts w:ascii="Arial" w:cs="Arial" w:eastAsia="Arial" w:hAnsi="Arial"/>
                <w:b/>
                <w:bCs/>
                <w:sz w:val="18"/>
                <w:szCs w:val="18"/>
              </w:rPr>
              <w:t xml:space="preserve">Chiffre</w:t>
            </w:r>
          </w:p>
        </w:tc>
        <w:tc>
          <w:tcPr>
            <w:tcW w:type="dxa" w:w="1000"/>
            <w:shd w:fill="E7E6E6" w:color="auto" w:val="clear"/>
            <w:tcMar>
              <w:top w:type="dxa" w:w="40"/>
              <w:left w:type="dxa" w:w="80"/>
              <w:bottom w:type="dxa" w:w="40"/>
              <w:right w:type="dxa" w:w="80"/>
            </w:tcMar>
          </w:tcPr>
          <w:p>
            <w:pPr>
              <w:spacing w:after="0"/>
              <w:jc w:val="left"/>
            </w:pPr>
            <w:r>
              <w:rPr>
                <w:rFonts w:ascii="Arial" w:cs="Arial" w:eastAsia="Arial" w:hAnsi="Arial"/>
                <w:b/>
                <w:bCs/>
                <w:sz w:val="18"/>
                <w:szCs w:val="18"/>
              </w:rPr>
              <w:t xml:space="preserve">Période</w:t>
            </w:r>
          </w:p>
        </w:tc>
        <w:tc>
          <w:tcPr>
            <w:tcW w:type="dxa" w:w="1300"/>
            <w:shd w:fill="E7E6E6" w:color="auto" w:val="clear"/>
            <w:tcMar>
              <w:top w:type="dxa" w:w="40"/>
              <w:left w:type="dxa" w:w="80"/>
              <w:bottom w:type="dxa" w:w="40"/>
              <w:right w:type="dxa" w:w="80"/>
            </w:tcMar>
          </w:tcPr>
          <w:p>
            <w:pPr>
              <w:spacing w:after="0"/>
              <w:jc w:val="left"/>
            </w:pPr>
            <w:r>
              <w:rPr>
                <w:rFonts w:ascii="Arial" w:cs="Arial" w:eastAsia="Arial" w:hAnsi="Arial"/>
                <w:b/>
                <w:bCs/>
                <w:sz w:val="18"/>
                <w:szCs w:val="18"/>
              </w:rPr>
              <w:t xml:space="preserve">Valeur</w:t>
            </w:r>
          </w:p>
        </w:tc>
        <w:tc>
          <w:tcPr>
            <w:tcW w:type="dxa" w:w="2126"/>
            <w:shd w:fill="E7E6E6" w:color="auto" w:val="clear"/>
            <w:tcMar>
              <w:top w:type="dxa" w:w="40"/>
              <w:left w:type="dxa" w:w="80"/>
              <w:bottom w:type="dxa" w:w="40"/>
              <w:right w:type="dxa" w:w="80"/>
            </w:tcMar>
          </w:tcPr>
          <w:p>
            <w:pPr>
              <w:spacing w:after="0"/>
              <w:jc w:val="left"/>
            </w:pPr>
            <w:r>
              <w:rPr>
                <w:rFonts w:ascii="Arial" w:cs="Arial" w:eastAsia="Arial" w:hAnsi="Arial"/>
                <w:b/>
                <w:bCs/>
                <w:sz w:val="18"/>
                <w:szCs w:val="18"/>
              </w:rPr>
              <w:t xml:space="preserve">Source (fichier, page)</w:t>
            </w:r>
          </w:p>
        </w:tc>
        <w:tc>
          <w:tcPr>
            <w:tcW w:type="dxa" w:w="700"/>
            <w:shd w:fill="E7E6E6" w:color="auto" w:val="clear"/>
            <w:tcMar>
              <w:top w:type="dxa" w:w="40"/>
              <w:left w:type="dxa" w:w="80"/>
              <w:bottom w:type="dxa" w:w="40"/>
              <w:right w:type="dxa" w:w="80"/>
            </w:tcMar>
          </w:tcPr>
          <w:p>
            <w:pPr>
              <w:spacing w:after="0"/>
              <w:jc w:val="left"/>
            </w:pPr>
            <w:r>
              <w:rPr>
                <w:rFonts w:ascii="Arial" w:cs="Arial" w:eastAsia="Arial" w:hAnsi="Arial"/>
                <w:b/>
                <w:bCs/>
                <w:sz w:val="18"/>
                <w:szCs w:val="18"/>
              </w:rPr>
              <w:t xml:space="preserve">Relu par</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F33</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Déchets dangereux traités</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2024</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9 196 kt</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226</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F34</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Déchets dangereux traités</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2025</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9 181 kt</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226</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F35</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Objectif 2027 actuel</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2027</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9 Mt</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226</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F36</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Objectif 2027 initial</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2027</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10 Mt</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en_master_greenup_strategy-day_v270324.pdf, p. 9</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F63</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Capacité en construction</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en construction</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430 kt</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veolia_clean_earth_investor_presentation.pdf, p. 9</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F59</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CA pro forma avec Clean Earth</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2025E</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5,2 Md€</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veolia_clean_earth_investor_presentation.pdf, p. 9</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F60</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EBITDA pro forma</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2025E</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0,9 Md€</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veolia_clean_earth_investor_presentation.pdf, p. 9</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F61</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Marge pro forma</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2025E</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17 %</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veolia_clean_earth_investor_presentation.pdf, p. 9</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F62</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Ambition EBITDA, par an, plus de</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2024-2027</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10 %/an</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veolia_clean_earth_investor_presentation.pdf, p. 9</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calcul</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EBITDA 2027 si +10 %/an depuis le pro forma</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1,09 Md EUR</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illustratif</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F39</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CA Déchets dangereux Europe</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S1 2026</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1 189 M€</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veolia-2026-first-half-results.pdf, p. 7</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F93</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 croissance organique</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S1 2026</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−0,2 %</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veolia-2026-first-half-results.pdf, p. 7</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calcul</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EBITDA Amériques-Asie-Afrique, S1/S1</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10,9 %</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publié, périmètre courant</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F52</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Clean Earth : chiffre d'affaires</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2026E</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1 030 M$</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veolia_clean_earth_investor_presentation.pdf, p. 6</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F51</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Clean Earth : EBITDA</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2026E</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200 M$</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veolia_clean_earth_investor_presentation.pdf, p. 6</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calcul</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Clean Earth : marge 2026E</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19,4 %</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EBITDA / CA</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F171</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EBITDA organique Water Technologies</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14,1 %</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finance_veolia_2025_full_year_results_presentation_0.pdf, p. 23</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F175</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EBITDA organique Amériques-Asie-Afrique</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9,3 %</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finance_veolia_2025_full_year_results_presentation_0.pdf, p. 23</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F178</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EBITDA organique Europe</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1,8 %</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finance_veolia_2025_full_year_results_presentation_0.pdf, p. 23</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F185</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Boosters : chiffre d'affaires</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13 191 M€</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finance_veolia_2025_full_year_results_presentation_0.pdf, p. 7</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F418</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GreenUp : EBITDA de base 2023</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2023</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6,5 Md€</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en_master_greenup_strategy-day_v270324.pdf, p. 58</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F420</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GreenUp : efficacité par an</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2024-2027</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350 M€</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en_master_greenup_strategy-day_v270324.pdf, p. 58</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calcul</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Part de l'écart 2023 → 2027 couverte par l'efficacité</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93 %</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4 × 350 / (8 000 − 6 500)</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F205</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Gains d'efficacité</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FY2024</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398 M€</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finance_2024_full_year_results_presentation.pdf, p. 5</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F424</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Gains d'efficacité</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399 M€</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finance_veolia_2025_full_year_results_presentation_0.pdf, p. 21</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F425</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Croissance organique de l'EBITDA</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6,3 %</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finance_veolia_2025_full_year_results_presentation_0.pdf, p. 21</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calcul</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 en M EUR sur la base publiée</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428 M EUR</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approximation : base organique non publiée</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F206</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Synergies Suez cumulées</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FY2024</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435 M€</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finance_2024_full_year_results_presentation.pdf, p. 5</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F208</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Synergies Suez cumulées</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534 M€</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finance_veolia_operating_and_financial_review_2025.pdf, p. 17</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calcul</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Reste hors efficacité et synergies, 2025</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−70 M EUR</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croissance organique − efficacité − synergies</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calcul</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Croissance organique 2026 du modèle</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388 M EUR</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l'efficacité promise en représente 90 %</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calcul</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Marge sous 3x fin 2027 sans efficacité en 2026-2027</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−529 M EUR</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levier 3,07x ; à mi-chemin 521</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F443</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Espagne : tuck-ins intégrés en deux ans</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2024-2025</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13 tuck-ins</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finance_veolia_2025_full_year_results_presentation_0.pdf, p. 19</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F444</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Espagne : valeur d'entreprise des tuck-ins</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2024-2025</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87 M€</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finance_veolia_2025_full_year_results_presentation_0.pdf, p. 19</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F445</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Espagne : multiple moyen des tuck-ins</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2024-2025</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7,4x</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finance_veolia_2025_full_year_results_presentation_0.pdf, p. 19</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F188</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Boosters : EBITDA</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1 668 M€</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finance_veolia_2025_full_year_results_presentation_0.pdf, p. 25</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F187</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Boosters : croissance organique de l'EBITDA</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12,1 %</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finance_veolia_2025_full_year_results_presentation_0.pdf, p. 7</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calcul</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EBITDA 2027 si chaque segment garde son rythme de 2025</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8 094 M EUR</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onglet Segments §C</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F224</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Clean Harbors : chiffre d'affaires</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6 030,8 M$</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clean-harbors-10-k-2025.pdf, p. 33</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F225</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Clean Harbors : EBITDA ajusté</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1 169 939 k USD</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clean-harbors-10-k-2025.pdf, p. 38</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F226</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Clean Harbors : marge</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19,4 %</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clean-harbors-10-k-2025.pdf, p. 38</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F209</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Enviri : CA du segment Clean Earth</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973,9 M$</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enviri-10-k-2025.pdf, p. 69</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F211</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Enviri : résultat opérationnel Clean Earth</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91,7 M$</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enviri-10-k-2025.pdf, p. 70</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calcul</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Clean Earth : EBITDA 2025 reconstitué (RO + D&amp;A)</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155 M USD</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Enviri 10-K p.70 + p.284</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calcul</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Clean Earth : marge 2025 reconstituée</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15,9 %</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bl>
    <w:p>
      <w:pPr>
        <w:pStyle w:val="Heading2"/>
        <w:spacing w:after="120" w:before="240"/>
      </w:pPr>
      <w:r>
        <w:rPr>
          <w:rFonts w:ascii="Arial" w:cs="Arial" w:eastAsia="Arial" w:hAnsi="Arial"/>
        </w:rPr>
        <w:t xml:space="preserve">Ce que nous n'avons pas pu établir</w:t>
      </w:r>
    </w:p>
    <w:p>
      <w:pPr>
        <w:pStyle w:val="ListParagraph"/>
        <w:numPr>
          <w:ilvl w:val="0"/>
          <w:numId w:val="5"/>
        </w:numPr>
        <w:spacing w:after="80"/>
      </w:pPr>
      <w:r>
        <w:rPr>
          <w:rFonts w:ascii="Arial" w:cs="Arial" w:eastAsia="Arial" w:hAnsi="Arial"/>
          <w:sz w:val="22"/>
          <w:szCs w:val="22"/>
        </w:rPr>
        <w:t xml:space="preserve">Les comptes de Clean Harbors et d'Enviri ne se téléchargent pas depuis le serveur (refus 403) : à verser à la main.</w:t>
      </w:r>
    </w:p>
    <w:p>
      <w:pPr>
        <w:pStyle w:val="ListParagraph"/>
        <w:numPr>
          <w:ilvl w:val="0"/>
          <w:numId w:val="5"/>
        </w:numPr>
        <w:spacing w:after="80"/>
      </w:pPr>
      <w:r>
        <w:rPr>
          <w:rFonts w:ascii="Arial" w:cs="Arial" w:eastAsia="Arial" w:hAnsi="Arial"/>
          <w:sz w:val="22"/>
          <w:szCs w:val="22"/>
        </w:rPr>
        <w:t xml:space="preserve">La base organique 2024 (périmètre et change constants) n'est pas publiée : les 428 M€ de croissance organique 2025 sont calculés sur l'EBITDA 2024 publié, à quelques millions près.</w:t>
      </w:r>
    </w:p>
    <w:p>
      <w:pPr>
        <w:pStyle w:val="ListParagraph"/>
        <w:numPr>
          <w:ilvl w:val="0"/>
          <w:numId w:val="5"/>
        </w:numPr>
        <w:spacing w:after="80"/>
      </w:pPr>
      <w:r>
        <w:rPr>
          <w:rFonts w:ascii="Arial" w:cs="Arial" w:eastAsia="Arial" w:hAnsi="Arial"/>
          <w:sz w:val="22"/>
          <w:szCs w:val="22"/>
        </w:rPr>
        <w:t xml:space="preserve">Le multiple des tuck-ins espagnols est imprimé « c.7.4x » (présentation 2025, p.19) : l'audit le signale hors page tant qu'un relecteur ne l'a pas confirmé.</w:t>
      </w:r>
    </w:p>
    <w:p>
      <w:pPr>
        <w:pStyle w:val="ListParagraph"/>
        <w:numPr>
          <w:ilvl w:val="0"/>
          <w:numId w:val="5"/>
        </w:numPr>
        <w:spacing w:after="80"/>
      </w:pPr>
      <w:r>
        <w:rPr>
          <w:rFonts w:ascii="Arial" w:cs="Arial" w:eastAsia="Arial" w:hAnsi="Arial"/>
          <w:sz w:val="22"/>
          <w:szCs w:val="22"/>
        </w:rPr>
        <w:t xml:space="preserve">Aucune valeur de marché des pairs (capitalisation, VE) n'est dans la dataroom.</w:t>
      </w:r>
    </w:p>
    <w:p>
      <w:pPr>
        <w:pStyle w:val="ListParagraph"/>
        <w:numPr>
          <w:ilvl w:val="0"/>
          <w:numId w:val="5"/>
        </w:numPr>
        <w:spacing w:after="80"/>
      </w:pPr>
      <w:r>
        <w:rPr>
          <w:rFonts w:ascii="Arial" w:cs="Arial" w:eastAsia="Arial" w:hAnsi="Arial"/>
          <w:sz w:val="22"/>
          <w:szCs w:val="22"/>
        </w:rPr>
        <w:t xml:space="preserve">L'EBITDA déchets dangereux de Veolia seul en 2024, base de l'ambition de +10 %, n'est pas publié.</w:t>
      </w:r>
    </w:p>
    <w:p>
      <w:pPr>
        <w:pStyle w:val="Heading2"/>
        <w:spacing w:after="120" w:before="240"/>
      </w:pPr>
      <w:r>
        <w:rPr>
          <w:rFonts w:ascii="Arial" w:cs="Arial" w:eastAsia="Arial" w:hAnsi="Arial"/>
        </w:rPr>
        <w:t xml:space="preserve">Questions probables du jury</w:t>
      </w:r>
    </w:p>
    <w:p>
      <w:pPr>
        <w:spacing w:after="120" w:line="300"/>
      </w:pPr>
      <w:r>
        <w:rPr>
          <w:rFonts w:ascii="Arial" w:cs="Arial" w:eastAsia="Arial" w:hAnsi="Arial"/>
          <w:b/>
          <w:bCs/>
          <w:sz w:val="22"/>
          <w:szCs w:val="22"/>
        </w:rPr>
        <w:t xml:space="preserve">D'où viennent exactement les 8 Md€ ?</w:t>
      </w:r>
    </w:p>
    <w:p>
      <w:pPr>
        <w:spacing w:after="120" w:line="300"/>
      </w:pPr>
      <w:r>
        <w:rPr>
          <w:rFonts w:ascii="Arial" w:cs="Arial" w:eastAsia="Arial" w:hAnsi="Arial"/>
          <w:sz w:val="22"/>
          <w:szCs w:val="22"/>
        </w:rPr>
        <w:t xml:space="preserve">De l'efficacité d'abord. GreenUp promet 350 M€ de gains par an : sur quatre ans, 93 % de l'écart entre 6,5 Md€ (2023) et 8 Md€. 2025 le confirme : 399 M€ d'efficacité pour ~428 M€ de croissance organique de l'EBITDA ; avec les 99 M€ de synergies Suez supplémentaires, les deux programmes dépassent la croissance organique. Le reste (volumes, prix, énergie) ne couvre pas l'inflation des coûts.</w:t>
      </w:r>
    </w:p>
    <w:p>
      <w:pPr>
        <w:spacing w:after="120" w:line="300"/>
      </w:pPr>
      <w:r>
        <w:rPr>
          <w:rFonts w:ascii="Arial" w:cs="Arial" w:eastAsia="Arial" w:hAnsi="Arial"/>
          <w:b/>
          <w:bCs/>
          <w:sz w:val="22"/>
          <w:szCs w:val="22"/>
        </w:rPr>
        <w:t xml:space="preserve">Et si l'efficacité n'est pas livrée en 2026-2027 ?</w:t>
      </w:r>
    </w:p>
    <w:p>
      <w:pPr>
        <w:spacing w:after="120" w:line="300"/>
      </w:pPr>
      <w:r>
        <w:rPr>
          <w:rFonts w:ascii="Arial" w:cs="Arial" w:eastAsia="Arial" w:hAnsi="Arial"/>
          <w:sz w:val="22"/>
          <w:szCs w:val="22"/>
        </w:rPr>
        <w:t xml:space="preserve">Chaque euro d'efficacité manquant retire trois euros de capacité d'endettement et aucun cash-flow ne le compense. Sans aucun gain en 2026-2027, l'EBITDA 2027 perd 700 M€, le levier remonte à 3,07x et la marge sous 3x devient −529 M€. C'est la question à poser à Veolia : les 350 M€ par an sont-ils sécurisés, et par quoi ?</w:t>
      </w:r>
    </w:p>
    <w:p>
      <w:pPr>
        <w:spacing w:after="120" w:line="300"/>
      </w:pPr>
      <w:r>
        <w:rPr>
          <w:rFonts w:ascii="Arial" w:cs="Arial" w:eastAsia="Arial" w:hAnsi="Arial"/>
          <w:b/>
          <w:bCs/>
          <w:sz w:val="22"/>
          <w:szCs w:val="22"/>
        </w:rPr>
        <w:t xml:space="preserve">Le booster est-il en retard ?</w:t>
      </w:r>
    </w:p>
    <w:p>
      <w:pPr>
        <w:spacing w:after="120" w:line="300"/>
      </w:pPr>
      <w:r>
        <w:rPr>
          <w:rFonts w:ascii="Arial" w:cs="Arial" w:eastAsia="Arial" w:hAnsi="Arial"/>
          <w:sz w:val="22"/>
          <w:szCs w:val="22"/>
        </w:rPr>
        <w:t xml:space="preserve">En volume, sur l'objectif initial, oui ; sur l'objectif révisé, non. En valeur, il n'est dans les clous que grâce à Clean Earth.</w:t>
      </w:r>
    </w:p>
    <w:p>
      <w:pPr>
        <w:spacing w:after="120" w:line="300"/>
      </w:pPr>
      <w:r>
        <w:rPr>
          <w:rFonts w:ascii="Arial" w:cs="Arial" w:eastAsia="Arial" w:hAnsi="Arial"/>
          <w:b/>
          <w:bCs/>
          <w:sz w:val="22"/>
          <w:szCs w:val="22"/>
        </w:rPr>
        <w:t xml:space="preserve">Pourquoi Clean Harbors est-il le bon comparable ?</w:t>
      </w:r>
    </w:p>
    <w:p>
      <w:pPr>
        <w:spacing w:after="120" w:line="300"/>
      </w:pPr>
      <w:r>
        <w:rPr>
          <w:rFonts w:ascii="Arial" w:cs="Arial" w:eastAsia="Arial" w:hAnsi="Arial"/>
          <w:sz w:val="22"/>
          <w:szCs w:val="22"/>
        </w:rPr>
        <w:t xml:space="preserve">Même métier aux États-Unis, là où Clean Earth opère : 6 030,8 M$ de chiffre d'affaires, marge 19,4 %, comptes 10-K audités. Mais son EBITDA est « ajusté » selon sa définition, et il porte ses propres passifs environnementaux : comparer les marges demande la même base.</w:t>
      </w:r>
    </w:p>
    <w:p>
      <w:pPr>
        <w:spacing w:after="120" w:line="300"/>
      </w:pPr>
      <w:r>
        <w:rPr>
          <w:rFonts w:ascii="Arial" w:cs="Arial" w:eastAsia="Arial" w:hAnsi="Arial"/>
          <w:b/>
          <w:bCs/>
          <w:sz w:val="22"/>
          <w:szCs w:val="22"/>
        </w:rPr>
        <w:t xml:space="preserve">L'objectif de 9 Mt est-il une révision à la baisse ?</w:t>
      </w:r>
    </w:p>
    <w:p>
      <w:pPr>
        <w:spacing w:after="120" w:line="300"/>
      </w:pPr>
      <w:r>
        <w:rPr>
          <w:rFonts w:ascii="Arial" w:cs="Arial" w:eastAsia="Arial" w:hAnsi="Arial"/>
          <w:sz w:val="22"/>
          <w:szCs w:val="22"/>
        </w:rPr>
        <w:t xml:space="preserve">Le chiffre baisse et le libellé perd « et polluants ». Le DEU ne l'explique pas : c'est une question à poser, pas à trancher.</w:t>
      </w:r>
    </w:p>
    <w:p>
      <w:r>
        <w:br w:type="page"/>
      </w:r>
    </w:p>
    <w:p>
      <w:pPr>
        <w:pStyle w:val="Heading1"/>
        <w:spacing w:after="120" w:before="240"/>
      </w:pPr>
      <w:r>
        <w:rPr>
          <w:rFonts w:ascii="Arial" w:cs="Arial" w:eastAsia="Arial" w:hAnsi="Arial"/>
        </w:rPr>
        <w:t xml:space="preserve">Rôle 5 — Le coût ESG</w:t>
      </w:r>
    </w:p>
    <w:p>
      <w:pPr>
        <w:spacing w:after="120" w:line="300"/>
      </w:pPr>
      <w:r>
        <w:rPr>
          <w:rFonts w:ascii="Arial" w:cs="Arial" w:eastAsia="Arial" w:hAnsi="Arial"/>
          <w:i/>
          <w:iCs/>
          <w:color w:val="555555"/>
          <w:sz w:val="22"/>
          <w:szCs w:val="22"/>
        </w:rPr>
        <w:t xml:space="preserve">Ce qu'une acquisition ajoute en passif et en exposition.</w:t>
      </w:r>
    </w:p>
    <w:p>
      <w:pPr>
        <w:shd w:fill="FFF2A8" w:color="auto" w:val="clear"/>
        <w:spacing w:after="160" w:before="160"/>
      </w:pPr>
      <w:r>
        <w:rPr>
          <w:rFonts w:ascii="Arial" w:cs="Arial" w:eastAsia="Arial" w:hAnsi="Arial"/>
          <w:i/>
          <w:iCs/>
          <w:sz w:val="22"/>
          <w:szCs w:val="22"/>
        </w:rPr>
        <w:t xml:space="preserve">[Section signée par : ______ ] — dans le classeur : ESG</w:t>
      </w:r>
    </w:p>
    <w:p>
      <w:pPr>
        <w:pStyle w:val="Heading2"/>
        <w:spacing w:after="120" w:before="240"/>
      </w:pPr>
      <w:r>
        <w:rPr>
          <w:rFonts w:ascii="Arial" w:cs="Arial" w:eastAsia="Arial" w:hAnsi="Arial"/>
        </w:rPr>
        <w:t xml:space="preserve">Réponse (générée depuis le classeur, à réécrire)</w:t>
      </w:r>
    </w:p>
    <w:p>
      <w:pPr>
        <w:spacing w:after="120" w:line="300"/>
      </w:pPr>
      <w:r>
        <w:rPr>
          <w:rFonts w:ascii="Arial" w:cs="Arial" w:eastAsia="Arial" w:hAnsi="Arial"/>
          <w:sz w:val="22"/>
          <w:szCs w:val="22"/>
        </w:rPr>
        <w:t xml:space="preserve">Veolia porte 1 290 M€ de provisions de fermeture et post-fermeture (0,17x d'EBITDA), en hausse de 76 M€ au S1 2026, dont +54 M€ dans le segment où est entré Clean Earth. Mais 81 % du prix de Clean Earth est encore du goodwill : l'affectation du prix n'est pas faite, donc la juste valeur de ses passifs environnementaux n'apparaît pas encore chez Veolia. Les comparables donnent l'ordre de grandeur : Clean Harbors porte 3,8 % de son chiffre d'affaires en passifs environnementaux ; appliqué au chiffre d'affaires de Clean Earth, cela ferait 37 M$. Le groupe Enviri entier en porte 51 M$. C'est une analogie, pas une mesure.</w:t>
      </w:r>
    </w:p>
    <w:p>
      <w:pPr>
        <w:pStyle w:val="Heading2"/>
        <w:spacing w:after="120" w:before="240"/>
      </w:pPr>
      <w:r>
        <w:rPr>
          <w:rFonts w:ascii="Arial" w:cs="Arial" w:eastAsia="Arial" w:hAnsi="Arial"/>
        </w:rPr>
        <w:t xml:space="preserve">Raisonnement (généré)</w:t>
      </w:r>
    </w:p>
    <w:p>
      <w:pPr>
        <w:pStyle w:val="ListParagraph"/>
        <w:numPr>
          <w:ilvl w:val="0"/>
          <w:numId w:val="9"/>
        </w:numPr>
        <w:spacing w:after="80"/>
      </w:pPr>
      <w:r>
        <w:rPr>
          <w:rFonts w:ascii="Arial" w:cs="Arial" w:eastAsia="Arial" w:hAnsi="Arial"/>
          <w:sz w:val="22"/>
          <w:szCs w:val="22"/>
        </w:rPr>
        <w:t xml:space="preserve">Le stock : 1 214 M€ fin 2025, surtout de la réhabilitation de sites ; il coûte 72 M€ par an de désactualisation, une charge financière qui ne passe pas dans l'EBITDA.</w:t>
      </w:r>
    </w:p>
    <w:p>
      <w:pPr>
        <w:pStyle w:val="ListParagraph"/>
        <w:numPr>
          <w:ilvl w:val="0"/>
          <w:numId w:val="9"/>
        </w:numPr>
        <w:spacing w:after="80"/>
      </w:pPr>
      <w:r>
        <w:rPr>
          <w:rFonts w:ascii="Arial" w:cs="Arial" w:eastAsia="Arial" w:hAnsi="Arial"/>
          <w:sz w:val="22"/>
          <w:szCs w:val="22"/>
        </w:rPr>
        <w:t xml:space="preserve">Ce que Clean Earth a ajouté jusqu'ici : la hausse du segment Amériques est compatible avec son entrée, mais Veolia ne l'attribue pas.</w:t>
      </w:r>
    </w:p>
    <w:p>
      <w:pPr>
        <w:pStyle w:val="ListParagraph"/>
        <w:numPr>
          <w:ilvl w:val="0"/>
          <w:numId w:val="9"/>
        </w:numPr>
        <w:spacing w:after="80"/>
      </w:pPr>
      <w:r>
        <w:rPr>
          <w:rFonts w:ascii="Arial" w:cs="Arial" w:eastAsia="Arial" w:hAnsi="Arial"/>
          <w:sz w:val="22"/>
          <w:szCs w:val="22"/>
        </w:rPr>
        <w:t xml:space="preserve">Ce qu'on ne voit pas : 81 % du prix reste en goodwill préliminaire (amendement p.53). IFRS 3 laisse douze mois pour affecter le prix : la juste valeur des passifs de la cible arrivera au plus tard mi-2027.</w:t>
      </w:r>
    </w:p>
    <w:p>
      <w:pPr>
        <w:pStyle w:val="ListParagraph"/>
        <w:numPr>
          <w:ilvl w:val="0"/>
          <w:numId w:val="9"/>
        </w:numPr>
        <w:spacing w:after="80"/>
      </w:pPr>
      <w:r>
        <w:rPr>
          <w:rFonts w:ascii="Arial" w:cs="Arial" w:eastAsia="Arial" w:hAnsi="Arial"/>
          <w:sz w:val="22"/>
          <w:szCs w:val="22"/>
        </w:rPr>
        <w:t xml:space="preserve">L'exposition : 82 sites spécialisés et 700 permis aux États-Unis, une croissance attendue sur les PFAS. Ce qui est une opportunité de marché est aussi un risque de passif.</w:t>
      </w:r>
    </w:p>
    <w:p>
      <w:pPr>
        <w:pStyle w:val="ListParagraph"/>
        <w:numPr>
          <w:ilvl w:val="0"/>
          <w:numId w:val="9"/>
        </w:numPr>
        <w:spacing w:after="80"/>
      </w:pPr>
      <w:r>
        <w:rPr>
          <w:rFonts w:ascii="Arial" w:cs="Arial" w:eastAsia="Arial" w:hAnsi="Arial"/>
          <w:sz w:val="22"/>
          <w:szCs w:val="22"/>
        </w:rPr>
        <w:t xml:space="preserve">Lu en dette élargie (provisions de fermeture comprises), le levier de 2027 gagne environ 0,16x.</w:t>
      </w:r>
    </w:p>
    <w:p>
      <w:pPr>
        <w:shd w:fill="FFF2A8" w:color="auto" w:val="clear"/>
        <w:spacing w:after="160" w:before="160"/>
      </w:pPr>
      <w:r>
        <w:rPr>
          <w:rFonts w:ascii="Arial" w:cs="Arial" w:eastAsia="Arial" w:hAnsi="Arial"/>
          <w:i/>
          <w:iCs/>
          <w:sz w:val="22"/>
          <w:szCs w:val="22"/>
        </w:rPr>
        <w:t xml:space="preserve">[À rédiger] 08_Livrables/texte/role-5.md : 6 à 9 pages, chaque chiffre cité par son jeton [F…] du registre.</w:t>
      </w:r>
    </w:p>
    <w:p>
      <w:pPr>
        <w:pStyle w:val="Heading2"/>
        <w:spacing w:after="120" w:before="240"/>
      </w:pPr>
      <w:r>
        <w:rPr>
          <w:rFonts w:ascii="Arial" w:cs="Arial" w:eastAsia="Arial" w:hAnsi="Arial"/>
        </w:rPr>
        <w:t xml:space="preserve">Chiffres cités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0"/>
        <w:gridCol w:w="3000"/>
        <w:gridCol w:w="1000"/>
        <w:gridCol w:w="1300"/>
        <w:gridCol w:w="2126"/>
        <w:gridCol w:w="700"/>
      </w:tblGrid>
      <w:tr>
        <w:trPr>
          <w:tblHeader/>
        </w:trPr>
        <w:tc>
          <w:tcPr>
            <w:tcW w:type="dxa" w:w="900"/>
            <w:shd w:fill="E7E6E6" w:color="auto" w:val="clear"/>
            <w:tcMar>
              <w:top w:type="dxa" w:w="40"/>
              <w:left w:type="dxa" w:w="80"/>
              <w:bottom w:type="dxa" w:w="40"/>
              <w:right w:type="dxa" w:w="80"/>
            </w:tcMar>
          </w:tcPr>
          <w:p>
            <w:pPr>
              <w:spacing w:after="0"/>
              <w:jc w:val="left"/>
            </w:pPr>
            <w:r>
              <w:rPr>
                <w:rFonts w:ascii="Arial" w:cs="Arial" w:eastAsia="Arial" w:hAnsi="Arial"/>
                <w:b/>
                <w:bCs/>
                <w:sz w:val="18"/>
                <w:szCs w:val="18"/>
              </w:rPr>
              <w:t xml:space="preserve">ID</w:t>
            </w:r>
          </w:p>
        </w:tc>
        <w:tc>
          <w:tcPr>
            <w:tcW w:type="dxa" w:w="3000"/>
            <w:shd w:fill="E7E6E6" w:color="auto" w:val="clear"/>
            <w:tcMar>
              <w:top w:type="dxa" w:w="40"/>
              <w:left w:type="dxa" w:w="80"/>
              <w:bottom w:type="dxa" w:w="40"/>
              <w:right w:type="dxa" w:w="80"/>
            </w:tcMar>
          </w:tcPr>
          <w:p>
            <w:pPr>
              <w:spacing w:after="0"/>
              <w:jc w:val="left"/>
            </w:pPr>
            <w:r>
              <w:rPr>
                <w:rFonts w:ascii="Arial" w:cs="Arial" w:eastAsia="Arial" w:hAnsi="Arial"/>
                <w:b/>
                <w:bCs/>
                <w:sz w:val="18"/>
                <w:szCs w:val="18"/>
              </w:rPr>
              <w:t xml:space="preserve">Chiffre</w:t>
            </w:r>
          </w:p>
        </w:tc>
        <w:tc>
          <w:tcPr>
            <w:tcW w:type="dxa" w:w="1000"/>
            <w:shd w:fill="E7E6E6" w:color="auto" w:val="clear"/>
            <w:tcMar>
              <w:top w:type="dxa" w:w="40"/>
              <w:left w:type="dxa" w:w="80"/>
              <w:bottom w:type="dxa" w:w="40"/>
              <w:right w:type="dxa" w:w="80"/>
            </w:tcMar>
          </w:tcPr>
          <w:p>
            <w:pPr>
              <w:spacing w:after="0"/>
              <w:jc w:val="left"/>
            </w:pPr>
            <w:r>
              <w:rPr>
                <w:rFonts w:ascii="Arial" w:cs="Arial" w:eastAsia="Arial" w:hAnsi="Arial"/>
                <w:b/>
                <w:bCs/>
                <w:sz w:val="18"/>
                <w:szCs w:val="18"/>
              </w:rPr>
              <w:t xml:space="preserve">Période</w:t>
            </w:r>
          </w:p>
        </w:tc>
        <w:tc>
          <w:tcPr>
            <w:tcW w:type="dxa" w:w="1300"/>
            <w:shd w:fill="E7E6E6" w:color="auto" w:val="clear"/>
            <w:tcMar>
              <w:top w:type="dxa" w:w="40"/>
              <w:left w:type="dxa" w:w="80"/>
              <w:bottom w:type="dxa" w:w="40"/>
              <w:right w:type="dxa" w:w="80"/>
            </w:tcMar>
          </w:tcPr>
          <w:p>
            <w:pPr>
              <w:spacing w:after="0"/>
              <w:jc w:val="left"/>
            </w:pPr>
            <w:r>
              <w:rPr>
                <w:rFonts w:ascii="Arial" w:cs="Arial" w:eastAsia="Arial" w:hAnsi="Arial"/>
                <w:b/>
                <w:bCs/>
                <w:sz w:val="18"/>
                <w:szCs w:val="18"/>
              </w:rPr>
              <w:t xml:space="preserve">Valeur</w:t>
            </w:r>
          </w:p>
        </w:tc>
        <w:tc>
          <w:tcPr>
            <w:tcW w:type="dxa" w:w="2126"/>
            <w:shd w:fill="E7E6E6" w:color="auto" w:val="clear"/>
            <w:tcMar>
              <w:top w:type="dxa" w:w="40"/>
              <w:left w:type="dxa" w:w="80"/>
              <w:bottom w:type="dxa" w:w="40"/>
              <w:right w:type="dxa" w:w="80"/>
            </w:tcMar>
          </w:tcPr>
          <w:p>
            <w:pPr>
              <w:spacing w:after="0"/>
              <w:jc w:val="left"/>
            </w:pPr>
            <w:r>
              <w:rPr>
                <w:rFonts w:ascii="Arial" w:cs="Arial" w:eastAsia="Arial" w:hAnsi="Arial"/>
                <w:b/>
                <w:bCs/>
                <w:sz w:val="18"/>
                <w:szCs w:val="18"/>
              </w:rPr>
              <w:t xml:space="preserve">Source (fichier, page)</w:t>
            </w:r>
          </w:p>
        </w:tc>
        <w:tc>
          <w:tcPr>
            <w:tcW w:type="dxa" w:w="700"/>
            <w:shd w:fill="E7E6E6" w:color="auto" w:val="clear"/>
            <w:tcMar>
              <w:top w:type="dxa" w:w="40"/>
              <w:left w:type="dxa" w:w="80"/>
              <w:bottom w:type="dxa" w:w="40"/>
              <w:right w:type="dxa" w:w="80"/>
            </w:tcMar>
          </w:tcPr>
          <w:p>
            <w:pPr>
              <w:spacing w:after="0"/>
              <w:jc w:val="left"/>
            </w:pPr>
            <w:r>
              <w:rPr>
                <w:rFonts w:ascii="Arial" w:cs="Arial" w:eastAsia="Arial" w:hAnsi="Arial"/>
                <w:b/>
                <w:bCs/>
                <w:sz w:val="18"/>
                <w:szCs w:val="18"/>
              </w:rPr>
              <w:t xml:space="preserve">Relu par</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F99</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Provisions de fermeture et post-fermeture</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31/12/2024</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1 220 M€</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432</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F100</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Provisions de fermeture et post-fermeture</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31/12/2025</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1 214 M€</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432</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F44</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Provisions de fermeture et post-fermeture</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30/06/2026</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1 290 M€</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veolia_finance_amendment_urd_2025.pdf, p. 65</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F42</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dont réhabilitation de sites</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31/12/2025</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1 106 M€</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432</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F43</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dont risques environnementaux</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31/12/2025</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53 M€</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432</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F107</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Désactualisation (charge annuelle)</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72 M€</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432</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F101</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Segment Amériques-Asie-Afrique</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31/12/2025</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418 M€</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432</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F102</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Segment Amériques-Asie-Afrique</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30/06/2026</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472 M€</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veolia_finance_amendment_urd_2025.pdf, p. 65</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F41</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Clean Earth : prix payé</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01/06/2026</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2 542 M€</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veolia-amendement-deu-2025-s1-2026.pdf, p. 46</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F98</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Clean Earth : goodwill préliminaire</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30/06/2026</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2 066 M€</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veolia_finance_amendment_urd_2025.pdf, p. 53</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calcul</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Goodwill en % du prix</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81,3 %</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aucune affectation au 30/06/2026</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F108</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Garanties reçues liées aux acquisitions</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31/12/2025</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45 M€</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veolia-amendement-deu-2025-s1-2026.pdf, p. 46</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F109</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Garanties reçues liées aux acquisitions</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30/06/2026</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75 M€</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veolia-amendement-deu-2025-s1-2026.pdf, p. 46</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calcul</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Provisions de fermeture comptées en dette, levier 2027</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3,22x</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avec 50 % des hybrides</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F239</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Clean Harbors : passifs environnementaux</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31/12/2025</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230 697 k USD</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clean-harbors-10-k-2025.pdf, p. 43</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F224</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Clean Harbors : chiffre d'affaires</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6 030,8 M$</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clean-harbors-10-k-2025.pdf, p. 33</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calcul</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Clean Harbors : passifs environnementaux / CA</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3,8 %</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F218</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Enviri : passifs environnementaux courants</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31/12/2025</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12 736 k USD</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enviri-10-k-2025.pdf, p. 251</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F219</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Enviri : passifs environnementaux non courants</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31/12/2025</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38 256 k USD</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enviri-10-k-2025.pdf, p. 251</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calcul</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Ordre de grandeur pour Clean Earth par analogie Clean Harbors</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37 M USD</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analogie, pas une mesure</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bl>
    <w:p>
      <w:pPr>
        <w:pStyle w:val="Heading2"/>
        <w:spacing w:after="120" w:before="240"/>
      </w:pPr>
      <w:r>
        <w:rPr>
          <w:rFonts w:ascii="Arial" w:cs="Arial" w:eastAsia="Arial" w:hAnsi="Arial"/>
        </w:rPr>
        <w:t xml:space="preserve">Ce que nous n'avons pas pu établir</w:t>
      </w:r>
    </w:p>
    <w:p>
      <w:pPr>
        <w:pStyle w:val="ListParagraph"/>
        <w:numPr>
          <w:ilvl w:val="0"/>
          <w:numId w:val="5"/>
        </w:numPr>
        <w:spacing w:after="80"/>
      </w:pPr>
      <w:r>
        <w:rPr>
          <w:rFonts w:ascii="Arial" w:cs="Arial" w:eastAsia="Arial" w:hAnsi="Arial"/>
          <w:sz w:val="22"/>
          <w:szCs w:val="22"/>
        </w:rPr>
        <w:t xml:space="preserve">Les passifs environnementaux propres à Clean Earth sont dans les comptes d'Enviri (activité cédée) : à verser à la main.</w:t>
      </w:r>
    </w:p>
    <w:p>
      <w:pPr>
        <w:pStyle w:val="ListParagraph"/>
        <w:numPr>
          <w:ilvl w:val="0"/>
          <w:numId w:val="5"/>
        </w:numPr>
        <w:spacing w:after="80"/>
      </w:pPr>
      <w:r>
        <w:rPr>
          <w:rFonts w:ascii="Arial" w:cs="Arial" w:eastAsia="Arial" w:hAnsi="Arial"/>
          <w:sz w:val="22"/>
          <w:szCs w:val="22"/>
        </w:rPr>
        <w:t xml:space="preserve">Les garanties reçues passent de 45 à 75 M€, sans être attribuées à Clean Earth.</w:t>
      </w:r>
    </w:p>
    <w:p>
      <w:pPr>
        <w:pStyle w:val="ListParagraph"/>
        <w:numPr>
          <w:ilvl w:val="0"/>
          <w:numId w:val="5"/>
        </w:numPr>
        <w:spacing w:after="80"/>
      </w:pPr>
      <w:r>
        <w:rPr>
          <w:rFonts w:ascii="Arial" w:cs="Arial" w:eastAsia="Arial" w:hAnsi="Arial"/>
          <w:sz w:val="22"/>
          <w:szCs w:val="22"/>
        </w:rPr>
        <w:t xml:space="preserve">La dataroom ne contient aucun rapport d'agence sur le traitement des provisions environnementales.</w:t>
      </w:r>
    </w:p>
    <w:p>
      <w:pPr>
        <w:pStyle w:val="Heading2"/>
        <w:spacing w:after="120" w:before="240"/>
      </w:pPr>
      <w:r>
        <w:rPr>
          <w:rFonts w:ascii="Arial" w:cs="Arial" w:eastAsia="Arial" w:hAnsi="Arial"/>
        </w:rPr>
        <w:t xml:space="preserve">Questions probables du jury</w:t>
      </w:r>
    </w:p>
    <w:p>
      <w:pPr>
        <w:spacing w:after="120" w:line="300"/>
      </w:pPr>
      <w:r>
        <w:rPr>
          <w:rFonts w:ascii="Arial" w:cs="Arial" w:eastAsia="Arial" w:hAnsi="Arial"/>
          <w:b/>
          <w:bCs/>
          <w:sz w:val="22"/>
          <w:szCs w:val="22"/>
        </w:rPr>
        <w:t xml:space="preserve">Combien Clean Earth ajoute-t-il en passifs environnementaux ?</w:t>
      </w:r>
    </w:p>
    <w:p>
      <w:pPr>
        <w:spacing w:after="120" w:line="300"/>
      </w:pPr>
      <w:r>
        <w:rPr>
          <w:rFonts w:ascii="Arial" w:cs="Arial" w:eastAsia="Arial" w:hAnsi="Arial"/>
          <w:sz w:val="22"/>
          <w:szCs w:val="22"/>
        </w:rPr>
        <w:t xml:space="preserve">On ne peut pas encore le dire depuis les comptes de Veolia : l'affectation du prix n'est pas faite. La seule trace est la hausse des provisions du segment Amériques, que Veolia n'attribue pas. La réponse est dans les comptes d'Enviri.</w:t>
      </w:r>
    </w:p>
    <w:p>
      <w:pPr>
        <w:spacing w:after="120" w:line="300"/>
      </w:pPr>
      <w:r>
        <w:rPr>
          <w:rFonts w:ascii="Arial" w:cs="Arial" w:eastAsia="Arial" w:hAnsi="Arial"/>
          <w:b/>
          <w:bCs/>
          <w:sz w:val="22"/>
          <w:szCs w:val="22"/>
        </w:rPr>
        <w:t xml:space="preserve">Les provisions sont-elles de la dette ?</w:t>
      </w:r>
    </w:p>
    <w:p>
      <w:pPr>
        <w:spacing w:after="120" w:line="300"/>
      </w:pPr>
      <w:r>
        <w:rPr>
          <w:rFonts w:ascii="Arial" w:cs="Arial" w:eastAsia="Arial" w:hAnsi="Arial"/>
          <w:sz w:val="22"/>
          <w:szCs w:val="22"/>
        </w:rPr>
        <w:t xml:space="preserve">Pas dans la définition de Veolia. Un prêteur prudent en tient compte : elles ajouteraient environ 0,16x au levier de 2027.</w:t>
      </w:r>
    </w:p>
    <w:p>
      <w:pPr>
        <w:spacing w:after="120" w:line="300"/>
      </w:pPr>
      <w:r>
        <w:rPr>
          <w:rFonts w:ascii="Arial" w:cs="Arial" w:eastAsia="Arial" w:hAnsi="Arial"/>
          <w:b/>
          <w:bCs/>
          <w:sz w:val="22"/>
          <w:szCs w:val="22"/>
        </w:rPr>
        <w:t xml:space="preserve">Où vont les euros « verts » de Veolia, et que mesure-t-on par euro ?</w:t>
      </w:r>
    </w:p>
    <w:p>
      <w:pPr>
        <w:spacing w:after="120" w:line="300"/>
      </w:pPr>
      <w:r>
        <w:rPr>
          <w:rFonts w:ascii="Arial" w:cs="Arial" w:eastAsia="Arial" w:hAnsi="Arial"/>
          <w:sz w:val="22"/>
          <w:szCs w:val="22"/>
        </w:rPr>
        <w:t xml:space="preserve">La taxonomie européenne (DEU 2025, p.250) : sur 4,5 Md€ de capex, 2,1 Md€ sont éligibles et alignés, soit 47 % ; l'eau en porte 0,8 Md€, les déchets dangereux 0,3 Md€ — 14 % du capex aligné du groupe, mais la ligne la mieux alignée (75 % de l'éligible). Ce que le DEU ne donne pas : l'impact par euro (tonnes traitées, CO2 évité, m³ économisés par M€ investi), publié au niveau du groupe seulement. C'est la question 3 du cours, et une question pour Veolia le 16 octobre.</w:t>
      </w:r>
    </w:p>
    <w:p>
      <w:pPr>
        <w:spacing w:after="120" w:line="300"/>
      </w:pPr>
      <w:r>
        <w:rPr>
          <w:rFonts w:ascii="Arial" w:cs="Arial" w:eastAsia="Arial" w:hAnsi="Arial"/>
          <w:b/>
          <w:bCs/>
          <w:sz w:val="22"/>
          <w:szCs w:val="22"/>
        </w:rPr>
        <w:t xml:space="preserve">Pourquoi 81 % de goodwill est-il un sujet ESG ?</w:t>
      </w:r>
    </w:p>
    <w:p>
      <w:pPr>
        <w:spacing w:after="120" w:line="300"/>
      </w:pPr>
      <w:r>
        <w:rPr>
          <w:rFonts w:ascii="Arial" w:cs="Arial" w:eastAsia="Arial" w:hAnsi="Arial"/>
          <w:sz w:val="22"/>
          <w:szCs w:val="22"/>
        </w:rPr>
        <w:t xml:space="preserve">Parce que tant que le prix n'est pas affecté, un passif environnemental découvert plus tard viendra réduire l'actif net acquis et gonfler le goodwill, sans que personne l'ait vu à l'achat.</w:t>
      </w:r>
    </w:p>
    <w:p>
      <w:r>
        <w:br w:type="page"/>
      </w:r>
    </w:p>
    <w:p>
      <w:pPr>
        <w:pStyle w:val="Heading1"/>
        <w:spacing w:after="120" w:before="240"/>
      </w:pPr>
      <w:r>
        <w:rPr>
          <w:rFonts w:ascii="Arial" w:cs="Arial" w:eastAsia="Arial" w:hAnsi="Arial"/>
        </w:rPr>
        <w:t xml:space="preserve">Rôle 6 — Cibles, puis synthèse</w:t>
      </w:r>
    </w:p>
    <w:p>
      <w:pPr>
        <w:spacing w:after="120" w:line="300"/>
      </w:pPr>
      <w:r>
        <w:rPr>
          <w:rFonts w:ascii="Arial" w:cs="Arial" w:eastAsia="Arial" w:hAnsi="Arial"/>
          <w:i/>
          <w:iCs/>
          <w:color w:val="555555"/>
          <w:sz w:val="22"/>
          <w:szCs w:val="22"/>
        </w:rPr>
        <w:t xml:space="preserve">L'univers de cibles, puis une recommandation calibrée sur l'enveloppe propre.</w:t>
      </w:r>
    </w:p>
    <w:p>
      <w:pPr>
        <w:shd w:fill="FFF2A8" w:color="auto" w:val="clear"/>
        <w:spacing w:after="160" w:before="160"/>
      </w:pPr>
      <w:r>
        <w:rPr>
          <w:rFonts w:ascii="Arial" w:cs="Arial" w:eastAsia="Arial" w:hAnsi="Arial"/>
          <w:i/>
          <w:iCs/>
          <w:sz w:val="22"/>
          <w:szCs w:val="22"/>
        </w:rPr>
        <w:t xml:space="preserve">[Section signée par : ______ ] — dans le classeur : Cibles</w:t>
      </w:r>
    </w:p>
    <w:p>
      <w:pPr>
        <w:pStyle w:val="Heading2"/>
        <w:spacing w:after="120" w:before="240"/>
      </w:pPr>
      <w:r>
        <w:rPr>
          <w:rFonts w:ascii="Arial" w:cs="Arial" w:eastAsia="Arial" w:hAnsi="Arial"/>
        </w:rPr>
        <w:t xml:space="preserve">Réponse (générée depuis le classeur, à réécrire)</w:t>
      </w:r>
    </w:p>
    <w:p>
      <w:pPr>
        <w:spacing w:after="120" w:line="300"/>
      </w:pPr>
      <w:r>
        <w:rPr>
          <w:rFonts w:ascii="Arial" w:cs="Arial" w:eastAsia="Arial" w:hAnsi="Arial"/>
          <w:sz w:val="22"/>
          <w:szCs w:val="22"/>
        </w:rPr>
        <w:t xml:space="preserve">Fin 2027, la marge centrale permet une acquisition d'environ 2,3 Md€ au multiple de Clean Earth (médiane des 1 000 futurs tirés : 2,15 Md€ ; 80 % entre 1,33 et 3,07 Md€ ; probabilité de pouvoir acheter 1 Md€ : 97 %, 2 Md€ : 60 %, 3 Md€ : 12 %), moins que Clean Earth lui-même (2,8 Md€). Dans le scénario défavorable, rien. Une cible de 3 Md€ à 9,8x laisserait 511 M€ à trouver sous 3x fin 2027 : 511 M€ d'hybrides (22 M€ de coupon par an), ou 730 M€ de cessions accélérées (73 M€ d'EBITDA perdu par an), ou une augmentation de capital diluant de 2,4 % ; sans financement, elle ne tient que payée moins de 6,7x. Recommandation proposée : pas de nouvelle grande opération avant l'encaissement du programme de cessions ; des tuck-ins au bas de la fourchette en 2027 ; une cible de 1 à 2 Md€ seulement une fois les cessions encaissées.</w:t>
      </w:r>
    </w:p>
    <w:p>
      <w:pPr>
        <w:pStyle w:val="Heading2"/>
        <w:spacing w:after="120" w:before="240"/>
      </w:pPr>
      <w:r>
        <w:rPr>
          <w:rFonts w:ascii="Arial" w:cs="Arial" w:eastAsia="Arial" w:hAnsi="Arial"/>
        </w:rPr>
        <w:t xml:space="preserve">Raisonnement (généré)</w:t>
      </w:r>
    </w:p>
    <w:p>
      <w:pPr>
        <w:pStyle w:val="ListParagraph"/>
        <w:numPr>
          <w:ilvl w:val="0"/>
          <w:numId w:val="10"/>
        </w:numPr>
        <w:spacing w:after="80"/>
      </w:pPr>
      <w:r>
        <w:rPr>
          <w:rFonts w:ascii="Arial" w:cs="Arial" w:eastAsia="Arial" w:hAnsi="Arial"/>
          <w:sz w:val="22"/>
          <w:szCs w:val="22"/>
        </w:rPr>
        <w:t xml:space="preserve">La formule : une acquisition ajoute son prix à la dette mais seulement prix / multiple à l'EBITDA. Elle tient sous 3x tant que prix ≤ marge / (1 − 3 / multiple).</w:t>
      </w:r>
    </w:p>
    <w:p>
      <w:pPr>
        <w:pStyle w:val="ListParagraph"/>
        <w:numPr>
          <w:ilvl w:val="0"/>
          <w:numId w:val="10"/>
        </w:numPr>
        <w:spacing w:after="80"/>
      </w:pPr>
      <w:r>
        <w:rPr>
          <w:rFonts w:ascii="Arial" w:cs="Arial" w:eastAsia="Arial" w:hAnsi="Arial"/>
          <w:sz w:val="22"/>
          <w:szCs w:val="22"/>
        </w:rPr>
        <w:t xml:space="preserve">La grille : au multiple de Clean Earth (9,8x), 2,26 Md€ en central, 0,00 en défavorable, 5,03 Md€ en favorable ; à 8x, 2,51 Md€ ; à 12x, 2,09 Md€ en central.</w:t>
      </w:r>
    </w:p>
    <w:p>
      <w:pPr>
        <w:pStyle w:val="ListParagraph"/>
        <w:numPr>
          <w:ilvl w:val="0"/>
          <w:numId w:val="10"/>
        </w:numPr>
        <w:spacing w:after="80"/>
      </w:pPr>
      <w:r>
        <w:rPr>
          <w:rFonts w:ascii="Arial" w:cs="Arial" w:eastAsia="Arial" w:hAnsi="Arial"/>
          <w:sz w:val="22"/>
          <w:szCs w:val="22"/>
        </w:rPr>
        <w:t xml:space="preserve">Le calibrage : Clean Earth ne passerait plus. Quatre multiples circulent pour lui : 19,3x sur l'EBITDA 2025 publié par le vendeur (reconstitué, onglet Booster §E), 15,0x sur l'EBITDA 2026E avant synergies, 9,8x publié après synergies (non recalculable : 9,4x avec les chiffres publiés), et 18,6x l'EBITDA ajusté des douze derniers mois selon Enviri (document à verser).</w:t>
      </w:r>
    </w:p>
    <w:p>
      <w:pPr>
        <w:pStyle w:val="ListParagraph"/>
        <w:numPr>
          <w:ilvl w:val="0"/>
          <w:numId w:val="10"/>
        </w:numPr>
        <w:spacing w:after="80"/>
      </w:pPr>
      <w:r>
        <w:rPr>
          <w:rFonts w:ascii="Arial" w:cs="Arial" w:eastAsia="Arial" w:hAnsi="Arial"/>
          <w:sz w:val="22"/>
          <w:szCs w:val="22"/>
        </w:rPr>
        <w:t xml:space="preserve">Les critères de cible : actifs de traitement (pas de collecte seule), géographie des boosters (États-Unis, Asie), PFAS et nouveaux polluants, taille compatible avec la grille, et pas de doublon de concurrence en Europe, où Veolia est déjà numéro un (présentation Clean Earth p.9).</w:t>
      </w:r>
    </w:p>
    <w:p>
      <w:pPr>
        <w:pStyle w:val="ListParagraph"/>
        <w:numPr>
          <w:ilvl w:val="0"/>
          <w:numId w:val="10"/>
        </w:numPr>
        <w:spacing w:after="80"/>
      </w:pPr>
      <w:r>
        <w:rPr>
          <w:rFonts w:ascii="Arial" w:cs="Arial" w:eastAsia="Arial" w:hAnsi="Arial"/>
          <w:sz w:val="22"/>
          <w:szCs w:val="22"/>
        </w:rPr>
        <w:t xml:space="preserve">L'univers : 26 cibles sourcées, toutes détenues par des fonds entrés entre 2023 et 2025 (Cibles §C). 4 ont une valeur publiée ; 3 tiennent dans la marge centrale au multiple retenu (12,81x, médiane du secteur avant synergies). Heritage-Crystal Clean : 1 021 M€ à 12,8x, tient dans 94 % des futurs (oui au central) ; Arcwood Environmental : prix non publié ; Triumvirate Environmental : 1 531 M€ à 12,8x, tient dans 73 % des futurs (oui au central) ; GFL Environmental Services : 4 982 M€ à 12,8x, tient dans 0 % des futurs ; NG Group : 800 M€ à 12,8x, tient dans 97 % des futurs (oui au central) ; Enviracore Services : prix non publié ; Enviracore Services : prix non publié ; Envisol : prix non publié ; Onterris (ex-Montrose Environmental Group) : prix non publié ; Perma-Fix Environmental Services : prix non publié ; Chemtron Corporation : prix non publié ; Cleanaway — Oils &amp; Technical Services and Health Services : prix non publié ; Daiseki Co., Ltd. : prix non publié ; Quest Resource Holding Corporation : prix non publié ; Indaver : prix non publié ; Tradebe Environmental Services : prix non publié ; Augean : prix non publié ; Enva : prix non publié ; AVR : prix non publié ; Groupe Flamme (A.R.F., Flamme Environnement, Flamme Assainissement) : prix non publié ; Activités déchets dangereux France de SUEZ (ex-SARPI cédées par Veolia) : prix non publié ; Greenthesis : prix non publié ; Currenta — services de gestion et de traitement des déchets : prix non publié ; GSB Sonderabfall-Entsorgung Bayern : prix non publié ; Séché Environnement : prix non publié ; Urbaser — Industrial Waste Treatment : prix non publié.</w:t>
      </w:r>
    </w:p>
    <w:p>
      <w:pPr>
        <w:pStyle w:val="ListParagraph"/>
        <w:numPr>
          <w:ilvl w:val="0"/>
          <w:numId w:val="10"/>
        </w:numPr>
        <w:spacing w:after="80"/>
      </w:pPr>
      <w:r>
        <w:rPr>
          <w:rFonts w:ascii="Arial" w:cs="Arial" w:eastAsia="Arial" w:hAnsi="Arial"/>
          <w:sz w:val="22"/>
          <w:szCs w:val="22"/>
        </w:rPr>
        <w:t xml:space="preserve">La valeur de chaque cible est la dernière publiée (la transaction qui a fait entrer le fonds), pas un prix de vente d'aujourd'hui : un fonds qui sort vend plus cher qu'il n'a acheté. La probabilité est donc un plafond.</w:t>
      </w:r>
    </w:p>
    <w:p>
      <w:pPr>
        <w:shd w:fill="FFF2A8" w:color="auto" w:val="clear"/>
        <w:spacing w:after="160" w:before="160"/>
      </w:pPr>
      <w:r>
        <w:rPr>
          <w:rFonts w:ascii="Arial" w:cs="Arial" w:eastAsia="Arial" w:hAnsi="Arial"/>
          <w:i/>
          <w:iCs/>
          <w:sz w:val="22"/>
          <w:szCs w:val="22"/>
        </w:rPr>
        <w:t xml:space="preserve">[À rédiger] 08_Livrables/texte/role-6.md : 6 à 9 pages, chaque chiffre cité par son jeton [F…] du registre.</w:t>
      </w:r>
    </w:p>
    <w:p>
      <w:pPr>
        <w:pStyle w:val="Heading2"/>
        <w:spacing w:after="120" w:before="240"/>
      </w:pPr>
      <w:r>
        <w:rPr>
          <w:rFonts w:ascii="Arial" w:cs="Arial" w:eastAsia="Arial" w:hAnsi="Arial"/>
        </w:rPr>
        <w:t xml:space="preserve">Chiffres cités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0"/>
        <w:gridCol w:w="3000"/>
        <w:gridCol w:w="1000"/>
        <w:gridCol w:w="1300"/>
        <w:gridCol w:w="2126"/>
        <w:gridCol w:w="700"/>
      </w:tblGrid>
      <w:tr>
        <w:trPr>
          <w:tblHeader/>
        </w:trPr>
        <w:tc>
          <w:tcPr>
            <w:tcW w:type="dxa" w:w="900"/>
            <w:shd w:fill="E7E6E6" w:color="auto" w:val="clear"/>
            <w:tcMar>
              <w:top w:type="dxa" w:w="40"/>
              <w:left w:type="dxa" w:w="80"/>
              <w:bottom w:type="dxa" w:w="40"/>
              <w:right w:type="dxa" w:w="80"/>
            </w:tcMar>
          </w:tcPr>
          <w:p>
            <w:pPr>
              <w:spacing w:after="0"/>
              <w:jc w:val="left"/>
            </w:pPr>
            <w:r>
              <w:rPr>
                <w:rFonts w:ascii="Arial" w:cs="Arial" w:eastAsia="Arial" w:hAnsi="Arial"/>
                <w:b/>
                <w:bCs/>
                <w:sz w:val="18"/>
                <w:szCs w:val="18"/>
              </w:rPr>
              <w:t xml:space="preserve">ID</w:t>
            </w:r>
          </w:p>
        </w:tc>
        <w:tc>
          <w:tcPr>
            <w:tcW w:type="dxa" w:w="3000"/>
            <w:shd w:fill="E7E6E6" w:color="auto" w:val="clear"/>
            <w:tcMar>
              <w:top w:type="dxa" w:w="40"/>
              <w:left w:type="dxa" w:w="80"/>
              <w:bottom w:type="dxa" w:w="40"/>
              <w:right w:type="dxa" w:w="80"/>
            </w:tcMar>
          </w:tcPr>
          <w:p>
            <w:pPr>
              <w:spacing w:after="0"/>
              <w:jc w:val="left"/>
            </w:pPr>
            <w:r>
              <w:rPr>
                <w:rFonts w:ascii="Arial" w:cs="Arial" w:eastAsia="Arial" w:hAnsi="Arial"/>
                <w:b/>
                <w:bCs/>
                <w:sz w:val="18"/>
                <w:szCs w:val="18"/>
              </w:rPr>
              <w:t xml:space="preserve">Chiffre</w:t>
            </w:r>
          </w:p>
        </w:tc>
        <w:tc>
          <w:tcPr>
            <w:tcW w:type="dxa" w:w="1000"/>
            <w:shd w:fill="E7E6E6" w:color="auto" w:val="clear"/>
            <w:tcMar>
              <w:top w:type="dxa" w:w="40"/>
              <w:left w:type="dxa" w:w="80"/>
              <w:bottom w:type="dxa" w:w="40"/>
              <w:right w:type="dxa" w:w="80"/>
            </w:tcMar>
          </w:tcPr>
          <w:p>
            <w:pPr>
              <w:spacing w:after="0"/>
              <w:jc w:val="left"/>
            </w:pPr>
            <w:r>
              <w:rPr>
                <w:rFonts w:ascii="Arial" w:cs="Arial" w:eastAsia="Arial" w:hAnsi="Arial"/>
                <w:b/>
                <w:bCs/>
                <w:sz w:val="18"/>
                <w:szCs w:val="18"/>
              </w:rPr>
              <w:t xml:space="preserve">Période</w:t>
            </w:r>
          </w:p>
        </w:tc>
        <w:tc>
          <w:tcPr>
            <w:tcW w:type="dxa" w:w="1300"/>
            <w:shd w:fill="E7E6E6" w:color="auto" w:val="clear"/>
            <w:tcMar>
              <w:top w:type="dxa" w:w="40"/>
              <w:left w:type="dxa" w:w="80"/>
              <w:bottom w:type="dxa" w:w="40"/>
              <w:right w:type="dxa" w:w="80"/>
            </w:tcMar>
          </w:tcPr>
          <w:p>
            <w:pPr>
              <w:spacing w:after="0"/>
              <w:jc w:val="left"/>
            </w:pPr>
            <w:r>
              <w:rPr>
                <w:rFonts w:ascii="Arial" w:cs="Arial" w:eastAsia="Arial" w:hAnsi="Arial"/>
                <w:b/>
                <w:bCs/>
                <w:sz w:val="18"/>
                <w:szCs w:val="18"/>
              </w:rPr>
              <w:t xml:space="preserve">Valeur</w:t>
            </w:r>
          </w:p>
        </w:tc>
        <w:tc>
          <w:tcPr>
            <w:tcW w:type="dxa" w:w="2126"/>
            <w:shd w:fill="E7E6E6" w:color="auto" w:val="clear"/>
            <w:tcMar>
              <w:top w:type="dxa" w:w="40"/>
              <w:left w:type="dxa" w:w="80"/>
              <w:bottom w:type="dxa" w:w="40"/>
              <w:right w:type="dxa" w:w="80"/>
            </w:tcMar>
          </w:tcPr>
          <w:p>
            <w:pPr>
              <w:spacing w:after="0"/>
              <w:jc w:val="left"/>
            </w:pPr>
            <w:r>
              <w:rPr>
                <w:rFonts w:ascii="Arial" w:cs="Arial" w:eastAsia="Arial" w:hAnsi="Arial"/>
                <w:b/>
                <w:bCs/>
                <w:sz w:val="18"/>
                <w:szCs w:val="18"/>
              </w:rPr>
              <w:t xml:space="preserve">Source (fichier, page)</w:t>
            </w:r>
          </w:p>
        </w:tc>
        <w:tc>
          <w:tcPr>
            <w:tcW w:type="dxa" w:w="700"/>
            <w:shd w:fill="E7E6E6" w:color="auto" w:val="clear"/>
            <w:tcMar>
              <w:top w:type="dxa" w:w="40"/>
              <w:left w:type="dxa" w:w="80"/>
              <w:bottom w:type="dxa" w:w="40"/>
              <w:right w:type="dxa" w:w="80"/>
            </w:tcMar>
          </w:tcPr>
          <w:p>
            <w:pPr>
              <w:spacing w:after="0"/>
              <w:jc w:val="left"/>
            </w:pPr>
            <w:r>
              <w:rPr>
                <w:rFonts w:ascii="Arial" w:cs="Arial" w:eastAsia="Arial" w:hAnsi="Arial"/>
                <w:b/>
                <w:bCs/>
                <w:sz w:val="18"/>
                <w:szCs w:val="18"/>
              </w:rPr>
              <w:t xml:space="preserve">Relu par</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calcul</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Acquisition max. à 8,0x : défavorable / central / favorable</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0,00 / 2,51 / 5,59 Md EUR</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marge / (1 − 3 / multiple)</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calcul</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Acquisition max. à 9,8x : défavorable / central / favorable</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0,00 / 2,26 / 5,03 Md EUR</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marge / (1 − 3 / multiple)</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calcul</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Acquisition max. à 12,0x : défavorable / central / favorable</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0,00 / 2,09 / 4,65 Md EUR</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marge / (1 − 3 / multiple)</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calcul</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Acquisition max. à 15,0x : défavorable / central / favorable</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0,00 / 1,96 / 4,36 Md EUR</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marge / (1 − 3 / multiple)</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F46</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Clean Earth : valeur d'entreprise</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annonce 11/2025</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3,0 Md$</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veolia_clean_earth_investor_presentation.pdf, p. 3</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F51</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Clean Earth : EBITDA</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2026E</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200 M$</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veolia_clean_earth_investor_presentation.pdf, p. 6</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F49</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Clean Earth : synergies, année 4</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année 4</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120 M$</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veolia_clean_earth_investor_presentation.pdf, p. 13</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calcul</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Multiple avant synergies recalculé</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15,0x</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VE / EBITDA 2026E</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calcul</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Multiple après synergies recalculé</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9,4x</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VE / (EBITDA + synergies)</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F48</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Multiple publié après synergies</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2026e</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9,8x</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veolia_clean_earth_investor_presentation.pdf, p. 3</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F445</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Espagne : multiple moyen des tuck-ins</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2024-2025</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7,4x</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finance_veolia_2025_full_year_results_presentation_0.pdf, p. 19</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F472</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Tuck-ins 2025 : multiple moyen</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9x</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finance_veolia_2025_full_year_results_presentation_0.pdf, p. 11</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F473</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WTS : multiple après synergies</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2025e</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11x</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finance_veolia_q1_presentation_2025.pdf, p. 11</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calcul</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Multiples publiés par Veolia, après synergies</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7,40x à 11,00x</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médiane 9,40x</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F478</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HEPACO : prix</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03/2024</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400 M$</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clean-harbors-hepaco-2024-03-25.html, p. 1</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F479</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HEPACO : EBITDA ajusté 2023</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FY2023</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36 M$</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clean-harbors-hepaco-2024-03-25.html, p. 1</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F483</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HEPACO : multiple après synergies</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2024</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7,1x</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clean-harbors-hepaco-2024-03-25.html, p. 1</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F484</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Covanta : valeur de la transaction</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annonce 07/2021</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5,3 Md$</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eqt-covanta-2021-07-14.html, p. 1</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F486</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Covanta : EBITDA 2021 attendu (bas)</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2021e</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460 M$</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eqt-covanta-2021-07-14.html, p. 1</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F474</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Stericycle : valeur d'entreprise</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annonce 06/2024</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7,2 Md$</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wm-stericycle-2024-06-03.html, p. 1</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F477</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Stericycle : synergies</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régime de croisière</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125 M$</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wm-stericycle-2024-06-03.html, p. 1</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F525</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US Ecology : valeur totale</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annonce 02/2022</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2,2 Md$</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bic-us-ecology-republic-2022.html, p. 1</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F527</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US Ecology : EBITDA ajusté 12 mois</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au 30/09/2021</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156 M$</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bic-us-ecology-republic-2022.html, p. 1</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F601</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EnviroServe : prix</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08/2026</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470 M$</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clean-harbors-enviroserve-2026-08-12.html, p. 1</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F602</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EnviroServe : EBITDA ajusté annuel attendu</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2026e</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27 M$</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clean-harbors-enviroserve-2026-08-12.html, p. 1</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F604</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EnviroServe : synergies attendues</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années 1-2</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25 M$</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clean-harbors-enviroserve-2026-08-12.html, p. 1</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F607</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EnviroServe et ES&amp;H : multiple après synergies</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10/2026</w:t>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8,9x</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clean-harbors-enviroserve-esh-2026-10-05.html, p. 1</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calcul</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Secteur, avant synergies</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11,11x à 17,41x</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communiqués des acquéreurs, 05_Commercial_Strategy</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calcul</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Secteur, médiane avant synergies</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12,81x</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multiple payé retenu pour les cibles</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calcul</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Clean Earth avant synergies face au plus cher du secteur</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−2,41x</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positif = au-dessus</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calcul</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Cible : Heritage-Crystal Clean</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1 021 M€ ; 94 % des futurs</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J.F. Lehman &amp; Company (fonds, depuis le 17/10/2023) ; T2 — crystal-clean-jfl-2023-07-19.html</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calcul</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Cible : Arcwood Environmental</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prix non publié</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EQT Infrastructure (fonds, depuis janvier 2024) ; T3 — arcwood-rebrand-2025-03-18.html</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calcul</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Cible : Triumvirate Environmental</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1 531 M€ ; 73 % des futurs</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Berkshire Partners et le fondateur (depuis février 2025) ; T4 — triumvirate-berkshire-2025-02-04.html</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calcul</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Cible : GFL Environmental Services</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4 982 M€ ; 0 % des futurs</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Apollo et BC Partners (depuis le 03/03/2025), GFL garde 44 % ; T5 — gfl-es-latham-2025-01-07.html</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calcul</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Cible : NG Group</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800 M€ ; 97 % des futurs</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Summa Equity (fonds, depuis le 29/11/2024) ; T6 — fortum-summa-ng-group-2024-07-18.html</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calcul</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Cible : Enviracore Services</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prix non publié</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Seaside Equity Partners (fonds, depuis 2024) ; T7 — enviracore-lancement-2025-09-30.html</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calcul</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Cible : Enviracore Services</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prix non publié</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Seaside Equity Partners (fonds lower middle market, depuis le 30/09/2025) ; T8 — bizwire-2025-9-30-seaside-equity-partners-la</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calcul</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Cible : Envisol</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prix non publié</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Groupe Géotec (depuis le 20/02/2025), lui-même sous LBO avec Naxicap Partners, BDR Invest et Jadel ; T9 — geotec-2</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calcul</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Cible : Onterris (ex-Montrose Environmental Group)</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prix non publié</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Listed (NYSE: ONT) ; T10 — 0001193125-26-335022.pdf</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calcul</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Cible : Perma-Fix Environmental Services</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prix non publié</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Listed (Nasdaq: PESI) ; T11 — formars.pdf</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calcul</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Cible : Chemtron Corporation</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prix non publié</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Kinderhook Industries (private equity, since 2019) ; T12 — </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calcul</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Cible : Cleanaway — Oils &amp; Technical Services and Health Services</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prix non publié</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Cleanaway Waste Management Limited (ASX: CWY), under non-binding EQT Infrastructure proposal ; T13 — 072pv5zdfnn9vx.pdf</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calcul</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Cible : Daiseki Co., Ltd.</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prix non publié</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Listed (TSE Prime: 9793) ; T14 — print.pdf</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calcul</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Cible : Quest Resource Holding Corporation</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prix non publié</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Listed (Nasdaq: QRHC) ; T15 — FINAL-QRHC-1Q26-Earnings-Release-5-7-26.pdf</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calcul</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Cible : Indaver</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prix non publié</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Katoen Natie (filiale) ; T16 — indaver_dzr_2025_en.pdf</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calcul</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Cible : Tradebe Environmental Services</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prix non publié</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Groupe Tradebe, privé non coté (fondé et présidé par Josep Creixell) ; T17 — tradebe-refuerza-su-presencia-en-reino-unido</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calcul</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Cible : Augean</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prix non publié</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Eleia (fonds Ancala Partners et Fiera Infrastructure), depuis 2021 ; T18 — winning-bid-made-in-battle-to-acquire-waste-</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calcul</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Cible : Enva</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prix non publié</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I Squared Capital (ISQ Global Infrastructure Fund III), depuis 2023 ; T19 — enva-announces-agreement-to-be-acquired-by-i</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calcul</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Cible : AVR</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prix non publié</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Consortium mené par CK Infrastructure Holdings (CKI), depuis 2013 ; T20 — avr-annual-report-2024-resolve-web-1.pdf</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calcul</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Cible : Groupe Flamme (A.R.F., Flamme Environnement, Flamme Assainissement)</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prix non publié</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Actionnaires familiaux, sous promesse unilatérale d'achat de Séché Environnement (juin 2025) ; T21 — 25-06-cp-flamme.pdf</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calcul</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Cible : Activités déchets dangereux France de SUEZ (ex-SARPI cédées par Veolia)</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prix non publié</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SUEZ (depuis le 30/11/2022) ; T22 — cp-suez-reprend-essentiel-activites-secteur-</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calcul</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Cible : Greenthesis</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prix non publié</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Famille Grossi (60 %) et Patrizia (40 %), retirée de la cote ; T23 — alla-tedesca-patrizia-il-40-di-greenthesis-2</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calcul</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Cible : Currenta — services de gestion et de traitement des déchets</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prix non publié</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Macquarie Infrastructure and Real Assets (Macquarie), depuis 2020 ; T24 — lanxess-completes-sale-of-its-currenta-stake</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calcul</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Cible : GSB Sonderabfall-Entsorgung Bayern</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prix non publié</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None ; T25 — sicherheit-ist-oberstes-ziel</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calcul</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Cible : Séché Environnement</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prix non publié</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Coté (Euronext Paris), groupe industriel familial ; T26 — seche_environnement_deu_2025_fr.pdf</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calcul</w:t>
            </w:r>
          </w:p>
        </w:tc>
        <w:tc>
          <w:tcPr>
            <w:tcW w:type="dxa" w:w="3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Cible : Urbaser — Industrial Waste Treatment</w:t>
            </w:r>
          </w:p>
        </w:tc>
        <w:tc>
          <w:tcPr>
            <w:tcW w:type="dxa" w:w="10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
            </w:r>
          </w:p>
        </w:tc>
        <w:tc>
          <w:tcPr>
            <w:tcW w:type="dxa" w:w="13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prix non publié</w:t>
            </w:r>
          </w:p>
        </w:tc>
        <w:tc>
          <w:tcPr>
            <w:tcW w:type="dxa" w:w="21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Blackstone et EQT (accord du 12/02/2026 avec Platinum Equity) ; T27 — platinum-equity-to-sell-global-environmental</w:t>
            </w:r>
          </w:p>
        </w:tc>
        <w:tc>
          <w:tcPr>
            <w:tcW w:type="dxa" w:w="7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bl>
    <w:p>
      <w:pPr>
        <w:pStyle w:val="Heading2"/>
        <w:spacing w:after="120" w:before="240"/>
      </w:pPr>
      <w:r>
        <w:rPr>
          <w:rFonts w:ascii="Arial" w:cs="Arial" w:eastAsia="Arial" w:hAnsi="Arial"/>
        </w:rPr>
        <w:t xml:space="preserve">Ce que nous n'avons pas pu établir</w:t>
      </w:r>
    </w:p>
    <w:p>
      <w:pPr>
        <w:pStyle w:val="ListParagraph"/>
        <w:numPr>
          <w:ilvl w:val="0"/>
          <w:numId w:val="5"/>
        </w:numPr>
        <w:spacing w:after="80"/>
      </w:pPr>
      <w:r>
        <w:rPr>
          <w:rFonts w:ascii="Arial" w:cs="Arial" w:eastAsia="Arial" w:hAnsi="Arial"/>
          <w:sz w:val="22"/>
          <w:szCs w:val="22"/>
        </w:rPr>
        <w:t xml:space="preserve">La notation qualitative (traitement, géographie, PFAS, concurrence, passifs) est au groupe : cellules jaunes de Cibles §C.</w:t>
      </w:r>
    </w:p>
    <w:p>
      <w:pPr>
        <w:pStyle w:val="ListParagraph"/>
        <w:numPr>
          <w:ilvl w:val="0"/>
          <w:numId w:val="5"/>
        </w:numPr>
        <w:spacing w:after="80"/>
      </w:pPr>
      <w:r>
        <w:rPr>
          <w:rFonts w:ascii="Arial" w:cs="Arial" w:eastAsia="Arial" w:hAnsi="Arial"/>
          <w:sz w:val="22"/>
          <w:szCs w:val="22"/>
        </w:rPr>
        <w:t xml:space="preserve">Arcwood (incinération, PFAS) n'a pas de prix publié : la grille ne peut pas répondre pour elle sans une estimation sourcée.</w:t>
      </w:r>
    </w:p>
    <w:p>
      <w:pPr>
        <w:pStyle w:val="ListParagraph"/>
        <w:numPr>
          <w:ilvl w:val="0"/>
          <w:numId w:val="5"/>
        </w:numPr>
        <w:spacing w:after="80"/>
      </w:pPr>
      <w:r>
        <w:rPr>
          <w:rFonts w:ascii="Arial" w:cs="Arial" w:eastAsia="Arial" w:hAnsi="Arial"/>
          <w:sz w:val="22"/>
          <w:szCs w:val="22"/>
        </w:rPr>
        <w:t xml:space="preserve">La recommandation est une proposition du modèle : au groupe de la défendre ou de l'amender.</w:t>
      </w:r>
    </w:p>
    <w:p>
      <w:pPr>
        <w:pStyle w:val="Heading2"/>
        <w:spacing w:after="120" w:before="240"/>
      </w:pPr>
      <w:r>
        <w:rPr>
          <w:rFonts w:ascii="Arial" w:cs="Arial" w:eastAsia="Arial" w:hAnsi="Arial"/>
        </w:rPr>
        <w:t xml:space="preserve">Questions probables du jury</w:t>
      </w:r>
    </w:p>
    <w:p>
      <w:pPr>
        <w:spacing w:after="120" w:line="300"/>
      </w:pPr>
      <w:r>
        <w:rPr>
          <w:rFonts w:ascii="Arial" w:cs="Arial" w:eastAsia="Arial" w:hAnsi="Arial"/>
          <w:b/>
          <w:bCs/>
          <w:sz w:val="22"/>
          <w:szCs w:val="22"/>
        </w:rPr>
        <w:t xml:space="preserve">Pourquoi ne pas recommander une acquisition de 3 Md€ ?</w:t>
      </w:r>
    </w:p>
    <w:p>
      <w:pPr>
        <w:spacing w:after="120" w:line="300"/>
      </w:pPr>
      <w:r>
        <w:rPr>
          <w:rFonts w:ascii="Arial" w:cs="Arial" w:eastAsia="Arial" w:hAnsi="Arial"/>
          <w:sz w:val="22"/>
          <w:szCs w:val="22"/>
        </w:rPr>
        <w:t xml:space="preserve">Parce qu'au multiple de Clean Earth elle demanderait une marge de 2 082 M€ et que le scénario central n'en dégage que 1 571, sans même compter un glissement des cessions.</w:t>
      </w:r>
    </w:p>
    <w:p>
      <w:pPr>
        <w:spacing w:after="120" w:line="300"/>
      </w:pPr>
      <w:r>
        <w:rPr>
          <w:rFonts w:ascii="Arial" w:cs="Arial" w:eastAsia="Arial" w:hAnsi="Arial"/>
          <w:b/>
          <w:bCs/>
          <w:sz w:val="22"/>
          <w:szCs w:val="22"/>
        </w:rPr>
        <w:t xml:space="preserve">Que paie Veolia d'habitude, et que paie le secteur ?</w:t>
      </w:r>
    </w:p>
    <w:p>
      <w:pPr>
        <w:spacing w:after="120" w:line="300"/>
      </w:pPr>
      <w:r>
        <w:rPr>
          <w:rFonts w:ascii="Arial" w:cs="Arial" w:eastAsia="Arial" w:hAnsi="Arial"/>
          <w:sz w:val="22"/>
          <w:szCs w:val="22"/>
        </w:rPr>
        <w:t xml:space="preserve">Veolia publie ses multiples après synergies : 7,4x pour treize tuck-ins espagnols, environ 9x pour les tuck-ins 2025, 9,40x en médiane, 11,00x au plus (le rachat des 30 % de WTS). Le secteur, avant synergies : 11,11x à 17,41x (HEPACO et EnviroServe par Clean Harbors, Covanta par EQT, US Ecology par Republic) ; HEPACO ressort à 7,1x après synergies, EnviroServe et ES&amp;H à 8,9x. Clean Earth avant synergies reste 2,41x sous le plus cher du secteur (Clean Harbors → EnviroServe (2026)) : les synergies « achètent » 5,20x de multiple. D'où la grille : 8x, 9,8x, 12x.</w:t>
      </w:r>
    </w:p>
    <w:p>
      <w:pPr>
        <w:spacing w:after="120" w:line="300"/>
      </w:pPr>
      <w:r>
        <w:rPr>
          <w:rFonts w:ascii="Arial" w:cs="Arial" w:eastAsia="Arial" w:hAnsi="Arial"/>
          <w:b/>
          <w:bCs/>
          <w:sz w:val="22"/>
          <w:szCs w:val="22"/>
        </w:rPr>
        <w:t xml:space="preserve">Quelles cibles regardez-vous ?</w:t>
      </w:r>
    </w:p>
    <w:p>
      <w:pPr>
        <w:spacing w:after="120" w:line="300"/>
      </w:pPr>
      <w:r>
        <w:rPr>
          <w:rFonts w:ascii="Arial" w:cs="Arial" w:eastAsia="Arial" w:hAnsi="Arial"/>
          <w:sz w:val="22"/>
          <w:szCs w:val="22"/>
        </w:rPr>
        <w:t xml:space="preserve">26 cibles réelles, détenues par des fonds : Heritage-Crystal Clean : 1 021 M€ à 12,8x, tient dans 94 % des futurs (oui au central) ; Arcwood Environmental : prix non publié ; Triumvirate Environmental : 1 531 M€ à 12,8x, tient dans 73 % des futurs (oui au central) ; GFL Environmental Services : 4 982 M€ à 12,8x, tient dans 0 % des futurs ; NG Group : 800 M€ à 12,8x, tient dans 97 % des futurs (oui au central) ; Enviracore Services : prix non publié ; Enviracore Services : prix non publié ; Envisol : prix non publié ; Onterris (ex-Montrose Environmental Group) : prix non publié ; Perma-Fix Environmental Services : prix non publié ; Chemtron Corporation : prix non publié ; Cleanaway — Oils &amp; Technical Services and Health Services : prix non publié ; Daiseki Co., Ltd. : prix non publié ; Quest Resource Holding Corporation : prix non publié ; Indaver : prix non publié ; Tradebe Environmental Services : prix non publié ; Augean : prix non publié ; Enva : prix non publié ; AVR : prix non publié ; Groupe Flamme (A.R.F., Flamme Environnement, Flamme Assainissement) : prix non publié ; Activités déchets dangereux France de SUEZ (ex-SARPI cédées par Veolia) : prix non publié ; Greenthesis : prix non publié ; Currenta — services de gestion et de traitement des déchets : prix non publié ; GSB Sonderabfall-Entsorgung Bayern : prix non publié ; Séché Environnement : prix non publié ; Urbaser — Industrial Waste Treatment : prix non publié. Au multiple médian du secteur (12,81x), 3 tiennent dans la marge centrale, la plus grande pour 1 531 M€. Les valeurs sont celles de l'entrée du fonds : un vendeur demandera plus.</w:t>
      </w:r>
    </w:p>
    <w:p>
      <w:pPr>
        <w:spacing w:after="120" w:line="300"/>
      </w:pPr>
      <w:r>
        <w:rPr>
          <w:rFonts w:ascii="Arial" w:cs="Arial" w:eastAsia="Arial" w:hAnsi="Arial"/>
          <w:b/>
          <w:bCs/>
          <w:sz w:val="22"/>
          <w:szCs w:val="22"/>
        </w:rPr>
        <w:t xml:space="preserve">Et si Veolia veut quand même une cible de 3 Md€ ?</w:t>
      </w:r>
    </w:p>
    <w:p>
      <w:pPr>
        <w:spacing w:after="120" w:line="300"/>
      </w:pPr>
      <w:r>
        <w:rPr>
          <w:rFonts w:ascii="Arial" w:cs="Arial" w:eastAsia="Arial" w:hAnsi="Arial"/>
          <w:sz w:val="22"/>
          <w:szCs w:val="22"/>
        </w:rPr>
        <w:t xml:space="preserve">Le menu de financement (onglet Financement) le chiffre : il manque 511 M€ sous 3x fin 2027, rien sous le seuil S&amp;P. Les hybrides comblent l'écart pour 22 M€ de coupon par an, mais les agences n'en retiennent que la moitié ; des cessions accélérées demandent 730 M€ et coûtent 73 M€ d'EBITDA récurrent ; du capital, 2,4 % de dilution. La vraie question est le prix accepté pour la taille.</w:t>
      </w:r>
    </w:p>
    <w:p>
      <w:pPr>
        <w:spacing w:after="120" w:line="300"/>
      </w:pPr>
      <w:r>
        <w:rPr>
          <w:rFonts w:ascii="Arial" w:cs="Arial" w:eastAsia="Arial" w:hAnsi="Arial"/>
          <w:b/>
          <w:bCs/>
          <w:sz w:val="22"/>
          <w:szCs w:val="22"/>
        </w:rPr>
        <w:t xml:space="preserve">Quelle hypothèse ferait tomber vos conclusions ?</w:t>
      </w:r>
    </w:p>
    <w:p>
      <w:pPr>
        <w:spacing w:after="120" w:line="300"/>
      </w:pPr>
      <w:r>
        <w:rPr>
          <w:rFonts w:ascii="Arial" w:cs="Arial" w:eastAsia="Arial" w:hAnsi="Arial"/>
          <w:sz w:val="22"/>
          <w:szCs w:val="22"/>
        </w:rPr>
        <w:t xml:space="preserve">Aucune seule, dans ses bornes : 0 hypothèse ne renverse une conclusion sans sortir de sa fourchette (onglet Financement §D, chaque seuil vérifié en le remettant dans le moteur). Pour une cible de 3 Md€, il faudrait une croissance 2026 de 7,7 % ou un multiple sous 6,7x.</w:t>
      </w:r>
    </w:p>
    <w:p>
      <w:pPr>
        <w:spacing w:after="120" w:line="300"/>
      </w:pPr>
      <w:r>
        <w:rPr>
          <w:rFonts w:ascii="Arial" w:cs="Arial" w:eastAsia="Arial" w:hAnsi="Arial"/>
          <w:b/>
          <w:bCs/>
          <w:sz w:val="22"/>
          <w:szCs w:val="22"/>
        </w:rPr>
        <w:t xml:space="preserve">Quel multiple retenez-vous ?</w:t>
      </w:r>
    </w:p>
    <w:p>
      <w:pPr>
        <w:spacing w:after="120" w:line="300"/>
      </w:pPr>
      <w:r>
        <w:rPr>
          <w:rFonts w:ascii="Arial" w:cs="Arial" w:eastAsia="Arial" w:hAnsi="Arial"/>
          <w:sz w:val="22"/>
          <w:szCs w:val="22"/>
        </w:rPr>
        <w:t xml:space="preserve">Pour la capacité, celui de Clean Earth après synergies, parce que c'est le seul qu'un acheteur comme Veolia ait publié. Plus le multiple monte, plus la taille possible baisse : à 12x, 2,09 Md€. Pour noter une cible réelle, la médiane du secteur avant synergies (12,81x) : la dette arrive le jour du paiement, les synergies après fin 2027.</w:t>
      </w:r>
    </w:p>
    <w:p>
      <w:pPr>
        <w:spacing w:after="120" w:line="300"/>
      </w:pPr>
      <w:r>
        <w:rPr>
          <w:rFonts w:ascii="Arial" w:cs="Arial" w:eastAsia="Arial" w:hAnsi="Arial"/>
          <w:b/>
          <w:bCs/>
          <w:sz w:val="22"/>
          <w:szCs w:val="22"/>
        </w:rPr>
        <w:t xml:space="preserve">Et si le programme de cessions glisse ?</w:t>
      </w:r>
    </w:p>
    <w:p>
      <w:pPr>
        <w:spacing w:after="120" w:line="300"/>
      </w:pPr>
      <w:r>
        <w:rPr>
          <w:rFonts w:ascii="Arial" w:cs="Arial" w:eastAsia="Arial" w:hAnsi="Arial"/>
          <w:sz w:val="22"/>
          <w:szCs w:val="22"/>
        </w:rPr>
        <w:t xml:space="preserve">Sans encaissement du reste du programme en 2027, la marge baisse de 478 M€ et la taille possible au multiple de Clean Earth tombe à environ 1,57 Md€. La recommandation conditionne toute opération à l'encaissement des cessions.</w:t>
      </w:r>
    </w:p>
    <w:p>
      <w:r>
        <w:br w:type="page"/>
      </w:r>
    </w:p>
    <w:p>
      <w:pPr>
        <w:pStyle w:val="Heading1"/>
        <w:spacing w:after="120" w:before="240"/>
      </w:pPr>
      <w:r>
        <w:rPr>
          <w:rFonts w:ascii="Arial" w:cs="Arial" w:eastAsia="Arial" w:hAnsi="Arial"/>
        </w:rPr>
        <w:t xml:space="preserve">La fourchette de capacité, pour les autres périmètres</w:t>
      </w:r>
    </w:p>
    <w:p>
      <w:pPr>
        <w:spacing w:after="120" w:line="300"/>
      </w:pPr>
      <w:r>
        <w:rPr>
          <w:rFonts w:ascii="Arial" w:cs="Arial" w:eastAsia="Arial" w:hAnsi="Arial"/>
          <w:sz w:val="22"/>
          <w:szCs w:val="22"/>
        </w:rPr>
        <w:t xml:space="preserve">Le nombre que les groupes « technologies de l'eau », « déchets dangereux » et « bioénergie » doivent respecter, dans ses trois scénarios et sous ses deux plafonds.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226"/>
        <w:gridCol w:w="1600"/>
        <w:gridCol w:w="1600"/>
        <w:gridCol w:w="1600"/>
      </w:tblGrid>
      <w:tr>
        <w:trPr>
          <w:tblHeader/>
        </w:trPr>
        <w:tc>
          <w:tcPr>
            <w:tcW w:type="dxa" w:w="4226"/>
            <w:shd w:fill="E7E6E6" w:color="auto" w:val="clear"/>
            <w:tcMar>
              <w:top w:type="dxa" w:w="40"/>
              <w:left w:type="dxa" w:w="80"/>
              <w:bottom w:type="dxa" w:w="40"/>
              <w:right w:type="dxa" w:w="80"/>
            </w:tcMar>
          </w:tcPr>
          <w:p>
            <w:pPr>
              <w:spacing w:after="0"/>
              <w:jc w:val="left"/>
            </w:pPr>
            <w:r>
              <w:rPr>
                <w:rFonts w:ascii="Arial" w:cs="Arial" w:eastAsia="Arial" w:hAnsi="Arial"/>
                <w:b/>
                <w:bCs/>
                <w:sz w:val="18"/>
                <w:szCs w:val="18"/>
              </w:rPr>
              <w:t xml:space="preserve">Fin 2027</w:t>
            </w:r>
          </w:p>
        </w:tc>
        <w:tc>
          <w:tcPr>
            <w:tcW w:type="dxa" w:w="1600"/>
            <w:shd w:fill="E7E6E6" w:color="auto" w:val="clear"/>
            <w:tcMar>
              <w:top w:type="dxa" w:w="40"/>
              <w:left w:type="dxa" w:w="80"/>
              <w:bottom w:type="dxa" w:w="40"/>
              <w:right w:type="dxa" w:w="80"/>
            </w:tcMar>
          </w:tcPr>
          <w:p>
            <w:pPr>
              <w:spacing w:after="0"/>
              <w:jc w:val="left"/>
            </w:pPr>
            <w:r>
              <w:rPr>
                <w:rFonts w:ascii="Arial" w:cs="Arial" w:eastAsia="Arial" w:hAnsi="Arial"/>
                <w:b/>
                <w:bCs/>
                <w:sz w:val="18"/>
                <w:szCs w:val="18"/>
              </w:rPr>
              <w:t xml:space="preserve">Défavorable</w:t>
            </w:r>
          </w:p>
        </w:tc>
        <w:tc>
          <w:tcPr>
            <w:tcW w:type="dxa" w:w="1600"/>
            <w:shd w:fill="E7E6E6" w:color="auto" w:val="clear"/>
            <w:tcMar>
              <w:top w:type="dxa" w:w="40"/>
              <w:left w:type="dxa" w:w="80"/>
              <w:bottom w:type="dxa" w:w="40"/>
              <w:right w:type="dxa" w:w="80"/>
            </w:tcMar>
          </w:tcPr>
          <w:p>
            <w:pPr>
              <w:spacing w:after="0"/>
              <w:jc w:val="left"/>
            </w:pPr>
            <w:r>
              <w:rPr>
                <w:rFonts w:ascii="Arial" w:cs="Arial" w:eastAsia="Arial" w:hAnsi="Arial"/>
                <w:b/>
                <w:bCs/>
                <w:sz w:val="18"/>
                <w:szCs w:val="18"/>
              </w:rPr>
              <w:t xml:space="preserve">Central</w:t>
            </w:r>
          </w:p>
        </w:tc>
        <w:tc>
          <w:tcPr>
            <w:tcW w:type="dxa" w:w="1600"/>
            <w:shd w:fill="E7E6E6" w:color="auto" w:val="clear"/>
            <w:tcMar>
              <w:top w:type="dxa" w:w="40"/>
              <w:left w:type="dxa" w:w="80"/>
              <w:bottom w:type="dxa" w:w="40"/>
              <w:right w:type="dxa" w:w="80"/>
            </w:tcMar>
          </w:tcPr>
          <w:p>
            <w:pPr>
              <w:spacing w:after="0"/>
              <w:jc w:val="left"/>
            </w:pPr>
            <w:r>
              <w:rPr>
                <w:rFonts w:ascii="Arial" w:cs="Arial" w:eastAsia="Arial" w:hAnsi="Arial"/>
                <w:b/>
                <w:bCs/>
                <w:sz w:val="18"/>
                <w:szCs w:val="18"/>
              </w:rPr>
              <w:t xml:space="preserve">Favorable</w:t>
            </w:r>
          </w:p>
        </w:tc>
      </w:tr>
      <w:tr>
        <w:tc>
          <w:tcPr>
            <w:tcW w:type="dxa" w:w="42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Marge de dette sous le levier ≤ 3x (M EUR)</w:t>
            </w:r>
          </w:p>
        </w:tc>
        <w:tc>
          <w:tcPr>
            <w:tcW w:type="dxa" w:w="16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−535</w:t>
            </w:r>
          </w:p>
        </w:tc>
        <w:tc>
          <w:tcPr>
            <w:tcW w:type="dxa" w:w="16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1 571</w:t>
            </w:r>
          </w:p>
        </w:tc>
        <w:tc>
          <w:tcPr>
            <w:tcW w:type="dxa" w:w="16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3 491</w:t>
            </w:r>
          </w:p>
        </w:tc>
      </w:tr>
      <w:tr>
        <w:tc>
          <w:tcPr>
            <w:tcW w:type="dxa" w:w="42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Marge de dette sous le seuil S&amp;P 18 % FFO / dette ajustée (M EUR)</w:t>
            </w:r>
          </w:p>
        </w:tc>
        <w:tc>
          <w:tcPr>
            <w:tcW w:type="dxa" w:w="16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521</w:t>
            </w:r>
          </w:p>
        </w:tc>
        <w:tc>
          <w:tcPr>
            <w:tcW w:type="dxa" w:w="16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4 333</w:t>
            </w:r>
          </w:p>
        </w:tc>
        <w:tc>
          <w:tcPr>
            <w:tcW w:type="dxa" w:w="16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7 355</w:t>
            </w:r>
          </w:p>
        </w:tc>
      </w:tr>
      <w:tr>
        <w:tc>
          <w:tcPr>
            <w:tcW w:type="dxa" w:w="42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Contrainte qui mord en premier</w:t>
            </w:r>
          </w:p>
        </w:tc>
        <w:tc>
          <w:tcPr>
            <w:tcW w:type="dxa" w:w="16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Veolia</w:t>
            </w:r>
          </w:p>
        </w:tc>
        <w:tc>
          <w:tcPr>
            <w:tcW w:type="dxa" w:w="16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Veolia</w:t>
            </w:r>
          </w:p>
        </w:tc>
        <w:tc>
          <w:tcPr>
            <w:tcW w:type="dxa" w:w="16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Veolia</w:t>
            </w:r>
          </w:p>
        </w:tc>
      </w:tr>
      <w:tr>
        <w:tc>
          <w:tcPr>
            <w:tcW w:type="dxa" w:w="42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Acquisition maximale au multiple de Clean Earth (9,8x), M EUR</w:t>
            </w:r>
          </w:p>
        </w:tc>
        <w:tc>
          <w:tcPr>
            <w:tcW w:type="dxa" w:w="16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0</w:t>
            </w:r>
          </w:p>
        </w:tc>
        <w:tc>
          <w:tcPr>
            <w:tcW w:type="dxa" w:w="16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2 264</w:t>
            </w:r>
          </w:p>
        </w:tc>
        <w:tc>
          <w:tcPr>
            <w:tcW w:type="dxa" w:w="16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5 871</w:t>
            </w:r>
          </w:p>
        </w:tc>
      </w:tr>
    </w:tbl>
    <w:p>
      <w:pPr>
        <w:pStyle w:val="Heading2"/>
        <w:spacing w:after="120" w:before="240"/>
      </w:pPr>
      <w:r>
        <w:rPr>
          <w:rFonts w:ascii="Arial" w:cs="Arial" w:eastAsia="Arial" w:hAnsi="Arial"/>
        </w:rPr>
        <w:t xml:space="preserve">Ce qu'il reste à faire avant la remise</w:t>
      </w:r>
    </w:p>
    <w:p>
      <w:pPr>
        <w:pStyle w:val="ListParagraph"/>
        <w:numPr>
          <w:ilvl w:val="0"/>
          <w:numId w:val="5"/>
        </w:numPr>
        <w:spacing w:after="80"/>
      </w:pPr>
      <w:r>
        <w:rPr>
          <w:rFonts w:ascii="Arial" w:cs="Arial" w:eastAsia="Arial" w:hAnsi="Arial"/>
          <w:sz w:val="22"/>
          <w:szCs w:val="22"/>
        </w:rPr>
        <w:t xml:space="preserve">Relire en croisé les 670 chiffres du registre (0 relus) et les 60 opérations (0 relues).</w:t>
      </w:r>
    </w:p>
    <w:p>
      <w:pPr>
        <w:pStyle w:val="ListParagraph"/>
        <w:numPr>
          <w:ilvl w:val="0"/>
          <w:numId w:val="5"/>
        </w:numPr>
        <w:spacing w:after="80"/>
      </w:pPr>
      <w:r>
        <w:rPr>
          <w:rFonts w:ascii="Arial" w:cs="Arial" w:eastAsia="Arial" w:hAnsi="Arial"/>
          <w:sz w:val="22"/>
          <w:szCs w:val="22"/>
        </w:rPr>
        <w:t xml:space="preserve">Lire les 10-K 2025 d'Enviri et de Clean Harbors, désormais dans la dataroom, et en tirer les chiffres des rôles 4 et 5 (passifs environnementaux de Clean Earth, marges et levier de Clean Harbors). Reste à verser : le 10-Q du T1 2026 d'Enviri et le communiqué de vente du 20 novembre 2025.</w:t>
      </w:r>
    </w:p>
    <w:p>
      <w:pPr>
        <w:pStyle w:val="ListParagraph"/>
        <w:numPr>
          <w:ilvl w:val="0"/>
          <w:numId w:val="5"/>
        </w:numPr>
        <w:spacing w:after="80"/>
      </w:pPr>
      <w:r>
        <w:rPr>
          <w:rFonts w:ascii="Arial" w:cs="Arial" w:eastAsia="Arial" w:hAnsi="Arial"/>
          <w:sz w:val="22"/>
          <w:szCs w:val="22"/>
        </w:rPr>
        <w:t xml:space="preserve">Avant le 7 octobre : montrer la dataroom comme « sources chargées et lues », et noter dans gaps.md ce qui manque encore.</w:t>
      </w:r>
    </w:p>
    <w:p>
      <w:pPr>
        <w:pStyle w:val="ListParagraph"/>
        <w:numPr>
          <w:ilvl w:val="0"/>
          <w:numId w:val="5"/>
        </w:numPr>
        <w:spacing w:after="80"/>
      </w:pPr>
      <w:r>
        <w:rPr>
          <w:rFonts w:ascii="Arial" w:cs="Arial" w:eastAsia="Arial" w:hAnsi="Arial"/>
          <w:sz w:val="22"/>
          <w:szCs w:val="22"/>
        </w:rPr>
        <w:t xml:space="preserve">Rédiger la page d'annexe sur les outils d'IA : dataroom MCP (recherche, registre, contrôles), Claude pour construire le classeur et ces dossiers, LibreOffice pour le recalcul. Aucun chiffre produit par le modèle de langage.</w:t>
      </w:r>
    </w:p>
    <w:p>
      <w:pPr>
        <w:pStyle w:val="ListParagraph"/>
        <w:numPr>
          <w:ilvl w:val="0"/>
          <w:numId w:val="5"/>
        </w:numPr>
        <w:spacing w:after="80"/>
      </w:pPr>
      <w:r>
        <w:rPr>
          <w:rFonts w:ascii="Arial" w:cs="Arial" w:eastAsia="Arial" w:hAnsi="Arial"/>
          <w:sz w:val="22"/>
          <w:szCs w:val="22"/>
        </w:rPr>
        <w:t xml:space="preserve">Noter les 26 cibles de l'onglet Cibles §C (cellules jaunes) et chercher une valeur sourcée pour celles qui n'en ont pas.</w:t>
      </w:r>
    </w:p>
    <w:p>
      <w:pPr>
        <w:pStyle w:val="ListParagraph"/>
        <w:numPr>
          <w:ilvl w:val="0"/>
          <w:numId w:val="5"/>
        </w:numPr>
        <w:spacing w:after="80"/>
      </w:pPr>
      <w:r>
        <w:rPr>
          <w:rFonts w:ascii="Arial" w:cs="Arial" w:eastAsia="Arial" w:hAnsi="Arial"/>
          <w:sz w:val="22"/>
          <w:szCs w:val="22"/>
        </w:rPr>
        <w:t xml:space="preserve">Chacun ouvre son rôle avec l'outil workstream_status de la dataroom pour voir ses chiffres et ce qui manque.</w:t>
      </w:r>
    </w:p>
    <w:p>
      <w:r>
        <w:br w:type="page"/>
      </w:r>
    </w:p>
    <w:p>
      <w:pPr>
        <w:pStyle w:val="Heading1"/>
        <w:spacing w:after="120" w:before="240"/>
      </w:pPr>
      <w:r>
        <w:rPr>
          <w:rFonts w:ascii="Arial" w:cs="Arial" w:eastAsia="Arial" w:hAnsi="Arial"/>
        </w:rPr>
        <w:t xml:space="preserve">Annexe A — Registre des chiffres cités</w:t>
      </w:r>
    </w:p>
    <w:p>
      <w:pPr>
        <w:spacing w:after="120" w:line="300"/>
      </w:pPr>
      <w:r>
        <w:rPr>
          <w:rFonts w:ascii="Arial" w:cs="Arial" w:eastAsia="Arial" w:hAnsi="Arial"/>
          <w:sz w:val="18"/>
          <w:szCs w:val="18"/>
        </w:rPr>
        <w:t xml:space="preserve">670 chiffres, chacun avec le fichier joint, la page, l'URL d'origine et la date de consultation. « Relu par » vide : un seul membre a lu la page.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600"/>
        <w:gridCol w:w="2400"/>
        <w:gridCol w:w="1000"/>
        <w:gridCol w:w="900"/>
        <w:gridCol w:w="3326"/>
        <w:gridCol w:w="400"/>
        <w:gridCol w:w="400"/>
      </w:tblGrid>
      <w:tr>
        <w:trPr>
          <w:tblHeader/>
        </w:trPr>
        <w:tc>
          <w:tcPr>
            <w:tcW w:type="dxa" w:w="600"/>
            <w:shd w:fill="E7E6E6" w:color="auto" w:val="clear"/>
            <w:tcMar>
              <w:top w:type="dxa" w:w="40"/>
              <w:left w:type="dxa" w:w="80"/>
              <w:bottom w:type="dxa" w:w="40"/>
              <w:right w:type="dxa" w:w="80"/>
            </w:tcMar>
          </w:tcPr>
          <w:p>
            <w:pPr>
              <w:spacing w:after="0"/>
              <w:jc w:val="left"/>
            </w:pPr>
            <w:r>
              <w:rPr>
                <w:rFonts w:ascii="Arial" w:cs="Arial" w:eastAsia="Arial" w:hAnsi="Arial"/>
                <w:b/>
                <w:bCs/>
                <w:sz w:val="18"/>
                <w:szCs w:val="18"/>
              </w:rPr>
              <w:t xml:space="preserve">ID</w:t>
            </w:r>
          </w:p>
        </w:tc>
        <w:tc>
          <w:tcPr>
            <w:tcW w:type="dxa" w:w="2400"/>
            <w:shd w:fill="E7E6E6" w:color="auto" w:val="clear"/>
            <w:tcMar>
              <w:top w:type="dxa" w:w="40"/>
              <w:left w:type="dxa" w:w="80"/>
              <w:bottom w:type="dxa" w:w="40"/>
              <w:right w:type="dxa" w:w="80"/>
            </w:tcMar>
          </w:tcPr>
          <w:p>
            <w:pPr>
              <w:spacing w:after="0"/>
              <w:jc w:val="left"/>
            </w:pPr>
            <w:r>
              <w:rPr>
                <w:rFonts w:ascii="Arial" w:cs="Arial" w:eastAsia="Arial" w:hAnsi="Arial"/>
                <w:b/>
                <w:bCs/>
                <w:sz w:val="18"/>
                <w:szCs w:val="18"/>
              </w:rPr>
              <w:t xml:space="preserve">Chiffre</w:t>
            </w:r>
          </w:p>
        </w:tc>
        <w:tc>
          <w:tcPr>
            <w:tcW w:type="dxa" w:w="1000"/>
            <w:shd w:fill="E7E6E6" w:color="auto" w:val="clear"/>
            <w:tcMar>
              <w:top w:type="dxa" w:w="40"/>
              <w:left w:type="dxa" w:w="80"/>
              <w:bottom w:type="dxa" w:w="40"/>
              <w:right w:type="dxa" w:w="80"/>
            </w:tcMar>
          </w:tcPr>
          <w:p>
            <w:pPr>
              <w:spacing w:after="0"/>
              <w:jc w:val="left"/>
            </w:pPr>
            <w:r>
              <w:rPr>
                <w:rFonts w:ascii="Arial" w:cs="Arial" w:eastAsia="Arial" w:hAnsi="Arial"/>
                <w:b/>
                <w:bCs/>
                <w:sz w:val="18"/>
                <w:szCs w:val="18"/>
              </w:rPr>
              <w:t xml:space="preserve">Valeur</w:t>
            </w:r>
          </w:p>
        </w:tc>
        <w:tc>
          <w:tcPr>
            <w:tcW w:type="dxa" w:w="900"/>
            <w:shd w:fill="E7E6E6" w:color="auto" w:val="clear"/>
            <w:tcMar>
              <w:top w:type="dxa" w:w="40"/>
              <w:left w:type="dxa" w:w="80"/>
              <w:bottom w:type="dxa" w:w="40"/>
              <w:right w:type="dxa" w:w="80"/>
            </w:tcMar>
          </w:tcPr>
          <w:p>
            <w:pPr>
              <w:spacing w:after="0"/>
              <w:jc w:val="left"/>
            </w:pPr>
            <w:r>
              <w:rPr>
                <w:rFonts w:ascii="Arial" w:cs="Arial" w:eastAsia="Arial" w:hAnsi="Arial"/>
                <w:b/>
                <w:bCs/>
                <w:sz w:val="18"/>
                <w:szCs w:val="18"/>
              </w:rPr>
              <w:t xml:space="preserve">Période</w:t>
            </w:r>
          </w:p>
        </w:tc>
        <w:tc>
          <w:tcPr>
            <w:tcW w:type="dxa" w:w="3326"/>
            <w:shd w:fill="E7E6E6" w:color="auto" w:val="clear"/>
            <w:tcMar>
              <w:top w:type="dxa" w:w="40"/>
              <w:left w:type="dxa" w:w="80"/>
              <w:bottom w:type="dxa" w:w="40"/>
              <w:right w:type="dxa" w:w="80"/>
            </w:tcMar>
          </w:tcPr>
          <w:p>
            <w:pPr>
              <w:spacing w:after="0"/>
              <w:jc w:val="left"/>
            </w:pPr>
            <w:r>
              <w:rPr>
                <w:rFonts w:ascii="Arial" w:cs="Arial" w:eastAsia="Arial" w:hAnsi="Arial"/>
                <w:b/>
                <w:bCs/>
                <w:sz w:val="18"/>
                <w:szCs w:val="18"/>
              </w:rPr>
              <w:t xml:space="preserve">Citation</w:t>
            </w:r>
          </w:p>
        </w:tc>
        <w:tc>
          <w:tcPr>
            <w:tcW w:type="dxa" w:w="400"/>
            <w:shd w:fill="E7E6E6" w:color="auto" w:val="clear"/>
            <w:tcMar>
              <w:top w:type="dxa" w:w="40"/>
              <w:left w:type="dxa" w:w="80"/>
              <w:bottom w:type="dxa" w:w="40"/>
              <w:right w:type="dxa" w:w="80"/>
            </w:tcMar>
          </w:tcPr>
          <w:p>
            <w:pPr>
              <w:spacing w:after="0"/>
              <w:jc w:val="left"/>
            </w:pPr>
            <w:r>
              <w:rPr>
                <w:rFonts w:ascii="Arial" w:cs="Arial" w:eastAsia="Arial" w:hAnsi="Arial"/>
                <w:b/>
                <w:bCs/>
                <w:sz w:val="18"/>
                <w:szCs w:val="18"/>
              </w:rPr>
              <w:t xml:space="preserve">Rôle</w:t>
            </w:r>
          </w:p>
        </w:tc>
        <w:tc>
          <w:tcPr>
            <w:tcW w:type="dxa" w:w="400"/>
            <w:shd w:fill="E7E6E6" w:color="auto" w:val="clear"/>
            <w:tcMar>
              <w:top w:type="dxa" w:w="40"/>
              <w:left w:type="dxa" w:w="80"/>
              <w:bottom w:type="dxa" w:w="40"/>
              <w:right w:type="dxa" w:w="80"/>
            </w:tcMar>
          </w:tcPr>
          <w:p>
            <w:pPr>
              <w:spacing w:after="0"/>
              <w:jc w:val="left"/>
            </w:pPr>
            <w:r>
              <w:rPr>
                <w:rFonts w:ascii="Arial" w:cs="Arial" w:eastAsia="Arial" w:hAnsi="Arial"/>
                <w:b/>
                <w:bCs/>
                <w:sz w:val="18"/>
                <w:szCs w:val="18"/>
              </w:rPr>
              <w:t xml:space="preserve">Relu</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F1</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EBITDA (groupe)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3 552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S1 2026</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veolia-amendement-deu-2025-s1-2026.pdf, p. 47, https://www.veolia.com/sites/g/files/dvc4206/files/document/2026/07/Veolia_Finance_amendement_DEU_2025.pdf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GreenUp : rotation NETTE d'actifs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0.5 Md EUR / an</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2024-2027</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en_master_greenup_strategy-day_v270324.pdf, p. 63, https://www.veolia.com/sites/g/files/dvc4206/files/document/2024/03/EN_Master_GreenUp_Strategy%20day_V270324.pdf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1</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F3</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EBITDA (groupe)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7,050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annual-resultats-2025.pdf, p. 1, https://www.veolia.com/sites/g/files/dvc4206/files/document/2026/02/annual-resultats-2025.pdf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F4</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Investissements nets (net capex)</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3,855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annual-resultats-2025.pdf, p. 1, https://www.veolia.com/sites/g/files/dvc4206/files/document/2026/02/annual-resultats-2025.pdf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F5</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GreenUp : tuck-ins, bas de fourchette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0.5 Md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2024-2027</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en_master_greenup_strategy-day_v270324.pdf, p. 63, https://www.veolia.com/sites/g/files/dvc4206/files/document/2024/03/EN_Master_GreenUp_Strategy%20day_V270324.pdf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F6</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Plafond GreenUp : dette financière nette / EBITDA ≤</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3 x</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2024-2027</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en_master_greenup_strategy-day_v270324.pdf, p. 64, https://www.veolia.com/sites/g/files/dvc4206/files/document/2024/03/EN_Master_GreenUp_Strategy%20day_V270324.pdf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F7</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GreenUp : investissements nets par an</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3.1 Md EUR / an</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2024-2027</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en_master_greenup_strategy-day_v270324.pdf, p. 63, https://www.veolia.com/sites/g/files/dvc4206/files/document/2024/03/EN_Master_GreenUp_Strategy%20day_V270324.pdf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F8</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Endettement financier net (groupe)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19,657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annual-resultats-2025.pdf, p. 1, https://www.veolia.com/sites/g/files/dvc4206/files/document/2026/02/annual-resultats-2025.pdf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F9</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GreenUp : capex de croissance discrétionnaire, haut de fourchette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0.7 Md EUR / an</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2024-2027</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en_master_greenup_strategy-day_v270324.pdf, p. 63, https://www.veolia.com/sites/g/files/dvc4206/files/document/2024/03/EN_Master_GreenUp_Strategy%20day_V270324.pdf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F10</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Dettes hybrides (titres super-subordonnés), hors coupons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4.1 Md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30/06/2026</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veolia_finance_amendment_urd_2025.pdf, p. 64, https://www.veolia.com/sites/g/files/dvc4206/files/document/2026/07/Veolia_Finance_Amendment_URD_2025.pdf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F11</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Endettement financier net (groupe), après Clean Earth</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24 548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30/06/2026</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veolia-amendement-deu-2025-s1-2026.pdf, p. 14, https://www.veolia.com/sites/g/files/dvc4206/files/document/2026/07/Veolia_Finance_amendement_DEU_2025.pdf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F12</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Objectif GreenUp : EBITDA ≥</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8 Md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2027</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en_master_greenup_strategy-day_v270324.pdf, p. 9, https://www.veolia.com/sites/g/files/dvc4206/files/document/2024/03/EN_Master_GreenUp_Strategy%20day_V270324.pdf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F13</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Cash-flow libre net (net free cash flow)</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1,156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FY2024</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annual-resultats-2025.pdf, p. 1, https://www.veolia.com/sites/g/files/dvc4206/files/document/2026/02/annual-resultats-2025.pdf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F14</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Ratio de levier publié, hors Clean Earth</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2.92 x</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31/03/2026</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operating_and_financial_review_consolidated_financial_statements_q1_2026.pdf, p. 5, https://www.veolia.com/sites/g/files/dvc4206/files/document/2026/05/Operating_and_financial_review_consolidated_financial_statements_Q1_2026.pdf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F15</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Dividende versé au titre de 2024</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1,023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337,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F16</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Ratio de levier publié</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2.79 x</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annual-resultats-2025.pdf, p. 1, https://www.veolia.com/sites/g/files/dvc4206/files/document/2026/02/annual-resultats-2025.pdf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F17</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EBITDA (groupe)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6,788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FY2024</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annual-resultats-2025.pdf, p. 1, https://www.veolia.com/sites/g/files/dvc4206/files/document/2026/02/annual-resultats-2025.pdf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F18</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GreenUp : cessions continues d'actifs non stratégiques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0.5 Md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2024-2027</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en_master_greenup_strategy-day_v270324.pdf, p. 63, https://www.veolia.com/sites/g/files/dvc4206/files/document/2024/03/EN_Master_GreenUp_Strategy%20day_V270324.pdf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1</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F19</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EBITDA (groupe)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3 367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S1 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veolia-amendement-deu-2025-s1-2026.pdf, p. 47, https://www.veolia.com/sites/g/files/dvc4206/files/document/2026/07/Veolia_Finance_amendement_DEU_2025.pdf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F20</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Ratio de levier publié</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2.63 x</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FY2024</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annual-resultats-2025.pdf, p. 1, https://www.veolia.com/sites/g/files/dvc4206/files/document/2026/02/annual-resultats-2025.pdf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F21</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GreenUp : tuck-ins, haut de fourchette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1.0 Md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2024-2027</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en_master_greenup_strategy-day_v270324.pdf, p. 63, https://www.veolia.com/sites/g/files/dvc4206/files/document/2024/03/EN_Master_GreenUp_Strategy%20day_V270324.pdf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F22</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Guidance levier 2026 : égal ou légèrement supérieur à, avec Clean Earth</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3 x</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2026</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veolia-amendement-deu-2025-s1-2026.pdf, p. 29, https://www.veolia.com/sites/g/files/dvc4206/files/document/2026/07/Veolia_Finance_amendement_DEU_2025.pdf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F23</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Endettement financier net (groupe)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17,819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31/12/2024</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annual-resultats-2025.pdf, p. 1, https://www.veolia.com/sites/g/files/dvc4206/files/document/2026/02/annual-resultats-2025.pdf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F24</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GreenUp : capex de croissance discrétionnaire, bas de fourchette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0.5 Md EUR / an</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2024-2027</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en_master_greenup_strategy-day_v270324.pdf, p. 63, https://www.veolia.com/sites/g/files/dvc4206/files/document/2024/03/EN_Master_GreenUp_Strategy%20day_V270324.pdf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F25</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Programme de cessions, à réaliser d'ici mi-2028 : plus de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2 Md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2026-2028</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veolia-amendement-deu-2025-s1-2026.pdf, p. 29, https://www.veolia.com/sites/g/files/dvc4206/files/document/2026/07/Veolia_Finance_amendement_DEU_2025.pdf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F26</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Trésorerie (groupe)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9 332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30/06/2026</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veolia-amendement-deu-2025-s1-2026.pdf, p. 14, https://www.veolia.com/sites/g/files/dvc4206/files/document/2026/07/Veolia_Finance_amendement_DEU_2025.pdf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F27</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Dividende proposé au titre de 2025</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1,50 EUR par action</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337,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F28</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Cash-flow libre net avant investissements financiers et dividendes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-288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S1 2026</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veolia_finance_amendment_urd_2025.pdf, p. 25, https://www.veolia.com/sites/g/files/dvc4206/files/document/2026/07/Veolia_Finance_Amendment_URD_2025.pdf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F29</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Cash-flow libre net (net free cash flow)</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1,178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annual-resultats-2025.pdf, p. 1, https://www.veolia.com/sites/g/files/dvc4206/files/document/2026/02/annual-resultats-2025.pdf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F30</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Cessions réalisées (Mexique, Belgique)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0.1 Md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S1 2026</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veolia_finance_presentation_h1_2026_results.pdf, p. 14, https://www.veolia.com/sites/g/files/dvc4206/files/document/2026/07/Veolia_Finance_presentation_H1_2026_results.pdf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F31</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Signatures de cessions attendues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0.5 Md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2026</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veolia_finance_presentation_h1_2026_results.pdf, p. 14, https://www.veolia.com/sites/g/files/dvc4206/files/document/2026/07/Veolia_Finance_presentation_H1_2026_results.pdf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F32</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Rotation d'actifs sur 4 ans : plus de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8 Md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2024-2027</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veolia_finance_presentation_h1_2026_results.pdf, p. 4, https://www.veolia.com/sites/g/files/dvc4206/files/document/2026/07/Veolia_Finance_presentation_H1_2026_results.pdf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1</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F33</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Déchets dangereux traités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9 196 kt</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2024</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226,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4</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F34</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Déchets dangereux traités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9,181 kt</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226,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4</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F35</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Objectif : déchets dangereux traités en 2027</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9 Mt</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2027</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226,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4</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F36</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Objectif GreenUp initial : déchets dangereux et polluants traités en 2027</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10 Mt</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2027</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en_master_greenup_strategy-day_v270324.pdf, p. 9, https://www.veolia.com/sites/g/files/dvc4206/files/document/2024/03/EN_Master_GreenUp_Strategy%20day_V270324.pdf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4</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F37</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EBITDA France et Déchets dangereux Europe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1,392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FY2024</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annual-resultats-2025.pdf, p. 9, https://www.veolia.com/sites/g/files/dvc4206/files/document/2026/02/annual-resultats-2025.pdf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4</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F38</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EBITDA France et Déchets dangereux Europe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1,475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annual-resultats-2025.pdf, p. 9, https://www.veolia.com/sites/g/files/dvc4206/files/document/2026/02/annual-resultats-2025.pdf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4</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F39</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Chiffre d'affaires Déchets dangereux Europe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1,189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S1 2026</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veolia-2026-first-half-results.pdf, p. 7, https://www.veolia.com/sites/g/files/dvc4206/files/document/2026/07/veolia-2026-first-half-results.pdf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4</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F40</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Clean Earth : prix d'acquisition</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2 989 M USD</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01/06/2026</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veolia-amendement-deu-2025-s1-2026.pdf, p. 46, https://www.veolia.com/sites/g/files/dvc4206/files/document/2026/07/Veolia_Finance_amendement_DEU_2025.pdf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4</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F41</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Clean Earth : prix d'acquisition</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2 542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01/06/2026</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veolia-amendement-deu-2025-s1-2026.pdf, p. 46, https://www.veolia.com/sites/g/files/dvc4206/files/document/2026/07/Veolia_Finance_amendement_DEU_2025.pdf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4</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F42</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Provisions pour réhabilitation de sites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1,106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432,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5</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F43</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Provisions pour risques environnementaux</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53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432,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5</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F44</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Provisions de fermeture et post-fermeture (réhabilitation, démantèlement)</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1,290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30/06/2026</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veolia_finance_amendment_urd_2025.pdf, p. 65, https://www.veolia.com/sites/g/files/dvc4206/files/document/2026/07/Veolia_Finance_Amendment_URD_2025.pdf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5</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F45</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dont segment France et Déchets dangereux Europe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461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30/06/2026</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veolia_finance_amendment_urd_2025.pdf, p. 65, https://www.veolia.com/sites/g/files/dvc4206/files/document/2026/07/Veolia_Finance_Amendment_URD_2025.pdf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5</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F46</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Clean Earth : valeur d'entreprise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3.0 Md USD</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annonce 11/2025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veolia_clean_earth_investor_presentation.pdf, p. 3, https://www.veolia.com/sites/g/files/dvc4206/files/document/2025/11/Veolia_Clean_Earth_Investor_Presentation.pdf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6</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F47</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Clean Earth : valeur d'entreprise (équivalent)</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2.6 Md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annonce 11/2025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veolia_clean_earth_investor_presentation.pdf, p. 3, https://www.veolia.com/sites/g/files/dvc4206/files/document/2025/11/Veolia_Clean_Earth_Investor_Presentation.pdf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6</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F48</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Clean Earth : multiple VE / EBITDA 2026e après synergies en régime de croisière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9.8 x</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2026e</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veolia_clean_earth_investor_presentation.pdf, p. 3, https://www.veolia.com/sites/g/files/dvc4206/files/document/2025/11/Veolia_Clean_Earth_Investor_Presentation.pdf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6</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F49</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Clean Earth : synergies de coûts en régime de croisière, année 4</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120 M USD</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année 4</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veolia_clean_earth_investor_presentation.pdf, p. 13, https://www.veolia.com/sites/g/files/dvc4206/files/document/2025/11/Veolia_Clean_Earth_Investor_Presentation.pdf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6</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F50</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Clean Earth : coûts de mise en œuvre attendus des synergies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90 M USD</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année 1-4</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veolia_clean_earth_investor_presentation.pdf, p. 13, https://www.veolia.com/sites/g/files/dvc4206/files/document/2025/11/Veolia_Clean_Earth_Investor_Presentation.pdf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6</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F51</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Clean Earth : EBITDA (ajusté, post IFRS 16)</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200 M USD</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2026E</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veolia_clean_earth_investor_presentation.pdf, p. 6, https://www.veolia.com/sites/g/files/dvc4206/files/document/2025/11/Veolia_Clean_Earth_Investor_Presentation.pdf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F52</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Clean Earth : chiffre d'affaires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1,030 M USD</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2026E</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veolia_clean_earth_investor_presentation.pdf, p. 6, https://www.veolia.com/sites/g/files/dvc4206/files/document/2025/11/Veolia_Clean_Earth_Investor_Presentation.pdf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4</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F53</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Clean Earth : conversion FCF / EBITDA, plus de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60 %</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2026E</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veolia_clean_earth_investor_presentation.pdf, p. 6, https://www.veolia.com/sites/g/files/dvc4206/files/document/2025/11/Veolia_Clean_Earth_Investor_Presentation.pdf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F54</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Clean Earth : chiffre d'affaires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980 M USD</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2025E</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veolia_clean_earth_investor_presentation.pdf, p. 7, https://www.veolia.com/sites/g/files/dvc4206/files/document/2025/11/Veolia_Clean_Earth_Investor_Presentation.pdf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4</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F55</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Engagement de levier du groupe : autour ou légèrement au-dessus de, selon le calendrier des cessions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3 x</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2026</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veolia_clean_earth_investor_presentation.pdf, p. 16, https://www.veolia.com/sites/g/files/dvc4206/files/document/2025/11/Veolia_Clean_Earth_Investor_Presentation.pdf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F56</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Engagement de levier du groupe : ≤</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3 x</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2027</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veolia_clean_earth_investor_presentation.pdf, p. 16, https://www.veolia.com/sites/g/files/dvc4206/files/document/2025/11/Veolia_Clean_Earth_Investor_Presentation.pdf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F57</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Guidance : levier égal ou légèrement supérieur à 3x en fin d'année, Clean Earth inclus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3 x</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31/12/2026</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veolia-2026-first-half-results.pdf, p. 3, https://www.veolia.com/sites/g/files/dvc4206/files/document/2026/07/veolia-2026-first-half-results.pdf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F58</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Déchets dangereux Veolia : chiffre d'affaires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4.3 Md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2024</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veolia_clean_earth_investor_presentation.pdf, p. 4, https://www.veolia.com/sites/g/files/dvc4206/files/document/2025/11/Veolia_Clean_Earth_Investor_Presentation.pdf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4</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F59</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Déchets dangereux Veolia + Clean Earth : chiffre d'affaires pro forma</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5.2 Md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2025E</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veolia_clean_earth_investor_presentation.pdf, p. 9, https://www.veolia.com/sites/g/files/dvc4206/files/document/2025/11/Veolia_Clean_Earth_Investor_Presentation.pdf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4</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F60</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Déchets dangereux Veolia + Clean Earth : EBITDA pro forma</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0.9 Md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2025E</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veolia_clean_earth_investor_presentation.pdf, p. 9, https://www.veolia.com/sites/g/files/dvc4206/files/document/2025/11/Veolia_Clean_Earth_Investor_Presentation.pdf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4</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F61</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Déchets dangereux Veolia + Clean Earth : marge d'EBITDA pro forma</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17 %</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2025E</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veolia_clean_earth_investor_presentation.pdf, p. 9, https://www.veolia.com/sites/g/files/dvc4206/files/document/2025/11/Veolia_Clean_Earth_Investor_Presentation.pdf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4</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F62</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Ambition GreenUp relevée : croissance annuelle de l'EBITDA déchets dangereux, plus de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10 % / an</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2024-2027</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veolia_clean_earth_investor_presentation.pdf, p. 9, https://www.veolia.com/sites/g/files/dvc4206/files/document/2025/11/Veolia_Clean_Earth_Investor_Presentation.pdf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4</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F63</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Capacité ajoutée par 5 usines de traitement en construction</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430 kt</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en construction</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veolia_clean_earth_investor_presentation.pdf, p. 9, https://www.veolia.com/sites/g/files/dvc4206/files/document/2025/11/Veolia_Clean_Earth_Investor_Presentation.pdf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4</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F64</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Pont de dette 2025 : investissements financiers nets des cessions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-2,301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annual-resultats-2025.pdf, p. 14, https://www.veolia.com/sites/g/files/dvc4206/files/document/2026/02/annual-resultats-2025.pdf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F65</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Pont de dette 2025 : dividendes versés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-1,023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annual-resultats-2025.pdf, p. 15, https://www.veolia.com/sites/g/files/dvc4206/files/document/2026/02/annual-resultats-2025.pdf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F66</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Pont de dette 2025 : émission de la première obligation hybride verte (nette) — réduit la dette nette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497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annual-resultats-2025.pdf, p. 15, https://www.veolia.com/sites/g/files/dvc4206/files/document/2026/02/annual-resultats-2025.pdf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F67</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Pont de dette 2025 : augmentation de capital Sequoia 2025 (nette)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318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annual-resultats-2025.pdf, p. 15, https://www.veolia.com/sites/g/files/dvc4206/files/document/2026/02/annual-resultats-2025.pdf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F68</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Pont de dette 2025 : réduction de capital par annulation d'actions rachetées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-402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annual-resultats-2025.pdf, p. 15, https://www.veolia.com/sites/g/files/dvc4206/files/document/2026/02/annual-resultats-2025.pdf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F69</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Pont de dette 2025 : effet de change et de juste valeur (favorable)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293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annual-resultats-2025.pdf, p. 15, https://www.veolia.com/sites/g/files/dvc4206/files/document/2026/02/annual-resultats-2025.pdf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F70</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Cash-flow libre net avant investissements financiers et dividendes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-451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S1 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veolia_finance_amendment_urd_2025.pdf, p. 25, https://www.veolia.com/sites/g/files/dvc4206/files/document/2026/07/Veolia_Finance_Amendment_URD_2025.pdf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F71</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Endettement financier net (groupe)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20,764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30/06/2025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veolia_finance_amendment_urd_2025.pdf, p. 26, https://www.veolia.com/sites/g/files/dvc4206/files/document/2026/07/Veolia_Finance_Amendment_URD_2025.pdf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F72</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Pont de dette S1 2026 : dividendes versés (total, minoritaires compris)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-1,394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S1 2026</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veolia_finance_amendment_urd_2025.pdf, p. 26, https://www.veolia.com/sites/g/files/dvc4206/files/document/2026/07/Veolia_Finance_Amendment_URD_2025.pdf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F73</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Pont de dette S1 2025 : dividendes versés (total, minoritaires compris)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-1,267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S1 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veolia_finance_amendment_urd_2025.pdf, p. 26, https://www.veolia.com/sites/g/files/dvc4206/files/document/2026/07/Veolia_Finance_Amendment_URD_2025.pdf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F74</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Dividende versé aux actionnaires, approuvé par l'AG du 23 avril 2026</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1,099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2026</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veolia_finance_amendment_urd_2025.pdf, p. 25, https://www.veolia.com/sites/g/files/dvc4206/files/document/2026/07/Veolia_Finance_Amendment_URD_2025.pdf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F75</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Pont de dette S1 2026 : investissements financiers nets des cessions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-2,869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S1 2026</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veolia_finance_amendment_urd_2025.pdf, p. 25, https://www.veolia.com/sites/g/files/dvc4206/files/document/2026/07/Veolia_Finance_Amendment_URD_2025.pdf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F76</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Clean Earth : effet sur l'endettement financier net</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-2,778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S1 2026</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veolia_finance_amendment_urd_2025.pdf, p. 25, https://www.veolia.com/sites/g/files/dvc4206/files/document/2026/07/Veolia_Finance_Amendment_URD_2025.pdf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6</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F77</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Enviropacific Services : effet sur l'endettement financier net</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-137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S1 2026</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veolia_finance_amendment_urd_2025.pdf, p. 25, https://www.veolia.com/sites/g/files/dvc4206/files/document/2026/07/Veolia_Finance_Amendment_URD_2025.pdf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6</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F78</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Pont de dette S1 2026 : effet de change et de juste valeur (défavorable)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-260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S1 2026</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veolia_finance_amendment_urd_2025.pdf, p. 25, https://www.veolia.com/sites/g/files/dvc4206/files/document/2026/07/Veolia_Finance_Amendment_URD_2025.pdf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F79</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Pont de dette S1 2026 : variation des créances et autres actifs financiers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-70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S1 2026</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veolia_finance_amendment_urd_2025.pdf, p. 26, https://www.veolia.com/sites/g/files/dvc4206/files/document/2026/07/Veolia_Finance_Amendment_URD_2025.pdf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F80</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Pont de dette S1 2026 : émission d'actions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10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S1 2026</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veolia_finance_amendment_urd_2025.pdf, p. 26, https://www.veolia.com/sites/g/files/dvc4206/files/document/2026/07/Veolia_Finance_Amendment_URD_2025.pdf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F81</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Pont de dette S1 2026 : autres mouvements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2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S1 2026</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veolia_finance_amendment_urd_2025.pdf, p. 26, https://www.veolia.com/sites/g/files/dvc4206/files/document/2026/07/Veolia_Finance_Amendment_URD_2025.pdf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F82</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Pont de dette S1 2026 : retraitement des passifs financiers (PPA Suez)</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-21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S1 2026</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veolia_finance_amendment_urd_2025.pdf, p. 26, https://www.veolia.com/sites/g/files/dvc4206/files/document/2026/07/Veolia_Finance_Amendment_URD_2025.pdf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F83</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Variation du BFR opérationnel</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-1,238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S1 2026</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veolia_finance_amendment_urd_2025.pdf, p. 26, https://www.veolia.com/sites/g/files/dvc4206/files/document/2026/07/Veolia_Finance_Amendment_URD_2025.pdf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F84</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Variation du BFR opérationnel</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-1,171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S1 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veolia_finance_amendment_urd_2025.pdf, p. 26, https://www.veolia.com/sites/g/files/dvc4206/files/document/2026/07/Veolia_Finance_Amendment_URD_2025.pdf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F85</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Investissements industriels nets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-1,630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S1 2026</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veolia_finance_amendment_urd_2025.pdf, p. 26, https://www.veolia.com/sites/g/files/dvc4206/files/document/2026/07/Veolia_Finance_Amendment_URD_2025.pdf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F86</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Nombre moyen pondéré d'actions (de base)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731,697,339 actions</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S1 2026</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veolia_finance_amendment_urd_2025.pdf, p. 64, https://www.veolia.com/sites/g/files/dvc4206/files/document/2026/07/Veolia_Finance_Amendment_URD_2025.pdf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F87</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Guidance 2026 : croissance organique de l'EBITDA, bas de fourchette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5 %</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2026</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veolia-2026-first-half-results.pdf, p. 3, https://www.veolia.com/sites/g/files/dvc4206/files/document/2026/07/veolia-2026-first-half-results.pdf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F88</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Guidance 2026 : croissance organique de l'EBITDA, haut de fourchette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6 %</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2026</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veolia-2026-first-half-results.pdf, p. 3, https://www.veolia.com/sites/g/files/dvc4206/files/document/2026/07/veolia-2026-first-half-results.pdf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F89</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Guidance 2026 : croissance du résultat net courant, au moins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8 %</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2026</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veolia-2026-first-half-results.pdf, p. 3, https://www.veolia.com/sites/g/files/dvc4206/files/document/2026/07/veolia-2026-first-half-results.pdf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F90</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GreenUp : investissements de maintenance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1.9 Md EUR / an</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2024-2027</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en_master_greenup_strategy-day_v270324.pdf, p. 63, https://www.veolia.com/sites/g/files/dvc4206/files/document/2024/03/EN_Master_GreenUp_Strategy%20day_V270324.pdf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1</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F91</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GreenUp : croissance sur contrats existants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1.5 Md EUR / an</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2024-2027</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en_master_greenup_strategy-day_v270324.pdf, p. 63, https://www.veolia.com/sites/g/files/dvc4206/files/document/2024/03/EN_Master_GreenUp_Strategy%20day_V270324.pdf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1</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F92</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GreenUp : cessions industrielles, moins de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0.3 Md EUR / an</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2024-2027</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en_master_greenup_strategy-day_v270324.pdf, p. 63, https://www.veolia.com/sites/g/files/dvc4206/files/document/2024/03/EN_Master_GreenUp_Strategy%20day_V270324.pdf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1</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F93</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Déchets dangereux Europe : croissance du chiffre d'affaires à périmètre et change constants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-0.2 %</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S1 2026</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veolia-2026-first-half-results.pdf, p. 7, https://www.veolia.com/sites/g/files/dvc4206/files/document/2026/07/veolia-2026-first-half-results.pdf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4</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F94</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EBITDA France et Déchets dangereux Europe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653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S1 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veolia-2026-first-half-results.pdf, p. 7, https://www.veolia.com/sites/g/files/dvc4206/files/document/2026/07/veolia-2026-first-half-results.pdf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4</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F95</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EBITDA France et Déchets dangereux Europe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676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S1 2026</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veolia-2026-first-half-results.pdf, p. 7, https://www.veolia.com/sites/g/files/dvc4206/files/document/2026/07/veolia-2026-first-half-results.pdf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4</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F96</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EBITDA Amériques, Asie-Pacifique, Afrique Moyen-Orient</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894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S1 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veolia-2026-first-half-results.pdf, p. 7, https://www.veolia.com/sites/g/files/dvc4206/files/document/2026/07/veolia-2026-first-half-results.pdf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4</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F97</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EBITDA Amériques, Asie-Pacifique, Afrique Moyen-Orient</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991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S1 2026</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veolia-2026-first-half-results.pdf, p. 7, https://www.veolia.com/sites/g/files/dvc4206/files/document/2026/07/veolia-2026-first-half-results.pdf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4</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F98</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Clean Earth : goodwill préliminaire (affectation du prix non réalisée au 30/06/2026)</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2,066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30/06/2026</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veolia_finance_amendment_urd_2025.pdf, p. 53, https://www.veolia.com/sites/g/files/dvc4206/files/document/2026/07/Veolia_Finance_Amendment_URD_2025.pdf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5</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F99</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Provisions de fermeture et post-fermeture (total)</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1,220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31/12/2024</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432,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5</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F100</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Provisions de fermeture et post-fermeture (total)</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1,214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432,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5</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F101</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Provisions de fermeture, dont Amériques, Asie-Pacifique, Afrique Moyen-Orient</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418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432,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5</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F102</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Provisions de fermeture, dont Amériques, Asie-Pacifique, Afrique Moyen-Orient</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472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30/06/2026</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veolia_finance_amendment_urd_2025.pdf, p. 65, https://www.veolia.com/sites/g/files/dvc4206/files/document/2026/07/Veolia_Finance_Amendment_URD_2025.pdf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5</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F103</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Provisions de fermeture, dont France et Déchets dangereux Europe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454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432,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5</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F104</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Provisions de fermeture, dont Europe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315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432,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5</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F105</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Provisions de fermeture, dont Europe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328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30/06/2026</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veolia_finance_amendment_urd_2025.pdf, p. 65, https://www.veolia.com/sites/g/files/dvc4206/files/document/2026/07/Veolia_Finance_Amendment_URD_2025.pdf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5</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F106</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Provisions pour démantèlement d'installations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55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432,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5</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F107</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Désactualisation des provisions de fermeture et post-fermeture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72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432,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5</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F108</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Engagements reçus liés au périmètre (garanties liées à des acquisitions)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45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veolia-amendement-deu-2025-s1-2026.pdf, p. 46, https://www.veolia.com/sites/g/files/dvc4206/files/document/2026/07/Veolia_Finance_amendement_DEU_2025.pdf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5</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F109</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Engagements reçus liés au périmètre (garanties liées à des acquisitions)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75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30/06/2026</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veolia-amendement-deu-2025-s1-2026.pdf, p. 46, https://www.veolia.com/sites/g/files/dvc4206/files/document/2026/07/Veolia_Finance_amendement_DEU_2025.pdf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5</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F127</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Clean Earth : sites spécialisés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82 sites</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annonce 11/2025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veolia_clean_earth_investor_presentation.pdf, p. 4, https://www.veolia.com/sites/g/files/dvc4206/files/document/2025/11/Veolia_Clean_Earth_Investor_Presentation.pdf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5</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F128</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Clean Earth : permis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700 permis</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annonce 11/2025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veolia_clean_earth_investor_presentation.pdf, p. 4, https://www.veolia.com/sites/g/files/dvc4206/files/document/2025/11/Veolia_Clean_Earth_Investor_Presentation.pdf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5</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F129</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GreenUp : investissements nets de croissance 2024-2027 dans les boosters (« 2 x Impact 2023 »)</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4 Md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2024-2027</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en_master_greenup_strategy-day_v270324.pdf, p. 44, https://www.veolia.com/sites/g/files/dvc4206/files/document/2024/03/EN_Master_GreenUp_Strategy%20day_V270324.pdf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1</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F130</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GreenUp : à investir dans les strongholds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2 Md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2024-2027</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en_master_greenup_strategy-day_v270324.pdf, p. 44, https://www.veolia.com/sites/g/files/dvc4206/files/document/2024/03/EN_Master_GreenUp_Strategy%20day_V270324.pdf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1</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F131</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Rotation d'actifs déjà réalisée depuis le début de GreenUp, environ</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4 Md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2024-2025e</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veolia_clean_earth_investor_presentation.pdf, p. 17, https://www.veolia.com/sites/g/files/dvc4206/files/document/2025/11/Veolia_Clean_Earth_Investor_Presentation.pdf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1</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F132</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Cessions nouvelles d'actifs matures dans les 2 ans après la clôture de Clean Earth, plus de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2 Md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2026-2028</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veolia_clean_earth_investor_presentation.pdf, p. 17, https://www.veolia.com/sites/g/files/dvc4206/files/document/2025/11/Veolia_Clean_Earth_Investor_Presentation.pdf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1</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F133</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Rotation d'actifs totale GreenUp avec Clean Earth et le plan de cessions, environ</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8.5 Md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2024-2028</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veolia_clean_earth_investor_presentation.pdf, p. 17, https://www.veolia.com/sites/g/files/dvc4206/files/document/2025/11/Veolia_Clean_Earth_Investor_Presentation.pdf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1</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F134</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Part des acquisitions GreenUp dans les boosters, environ</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90 %</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2024-2025e</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veolia_clean_earth_investor_presentation.pdf, p. 17, https://www.veolia.com/sites/g/files/dvc4206/files/document/2025/11/Veolia_Clean_Earth_Investor_Presentation.pdf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1</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F135</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Part des acquisitions GreenUp hors d'Europe, environ</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80 %</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2024-2025e</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veolia_clean_earth_investor_presentation.pdf, p. 17, https://www.veolia.com/sites/g/files/dvc4206/files/document/2025/11/Veolia_Clean_Earth_Investor_Presentation.pdf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1</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F136</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Investissements financiers nets 2024 (cessions SADE, RGS, Lydec, Haikou ; achat Hofmann)</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-0.4 Md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FY2024</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veolia_clean_earth_investor_presentation.pdf, p. 17, https://www.veolia.com/sites/g/files/dvc4206/files/document/2025/11/Veolia_Clean_Earth_Investor_Presentation.pdf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1</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F137</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Investissements financiers nets 2025e (déchets dangereux US, WTS minoritaires…)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2.3 Md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FY2025e</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veolia_clean_earth_investor_presentation.pdf, p. 17, https://www.veolia.com/sites/g/files/dvc4206/files/document/2025/11/Veolia_Clean_Earth_Investor_Presentation.pdf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1</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F138</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Pont de dette 2024 : investissements financiers nets des cessions (entrée nette)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+397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FY2024</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pr-2024-annual-results-veolia.pdf, p. 9, https://www.veolia.com/sites/g/files/dvc4206/files/document/2025/02/pr-2024-annual-results-veolia.pdf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1</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F139</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Pont de dette 2024 : dividendes versés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-895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FY2024</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pr-2024-annual-results-veolia.pdf, p. 9, https://www.veolia.com/sites/g/files/dvc4206/files/document/2025/02/pr-2024-annual-results-veolia.pdf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F140</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Pont de dette 2024 : remboursement de dette hybride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-203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FY2024</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pr-2024-annual-results-veolia.pdf, p. 9, https://www.veolia.com/sites/g/files/dvc4206/files/document/2025/02/pr-2024-annual-results-veolia.pdf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F141</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Pont de dette 2024 : augmentation de capital Sequoia 2024 (nette)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336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FY2024</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pr-2024-annual-results-veolia.pdf, p. 9, https://www.veolia.com/sites/g/files/dvc4206/files/document/2025/02/pr-2024-annual-results-veolia.pdf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F142</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Pont de dette 2024 : effet de change et de juste valeur (défavorable)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-157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FY2024</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pr-2024-annual-results-veolia.pdf, p. 9, https://www.veolia.com/sites/g/files/dvc4206/files/document/2025/02/pr-2024-annual-results-veolia.pdf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F143</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Investissements nets (net capex)</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3,836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FY2024</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pr-2024-annual-results-veolia.pdf, p. 9, https://www.veolia.com/sites/g/files/dvc4206/files/document/2025/02/pr-2024-annual-results-veolia.pdf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F144</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Maturité moyenne de la dette financière nette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6.5 années</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351,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F145</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Maturité moyenne de la dette financière nette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7.1 années</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31/12/2024</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351,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F146</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Part de la dette financière nette à taux fixe après couverture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85 %</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351,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F147</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Moody's : FFO / dette nette ajustée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20.3 %</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credit_opinion-veolia-environnement-sa-04may2026.pdf, p. 7, https://www.veolia.com/sites/g/files/dvc4206/files/document/2026/05/Credit_Opinion-Veolia-Environnement-SA-04May2026.pdf (consulté le 2026-10-02)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F148</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Moody's : FFO / dette nette ajustée attendu, bas de fourchette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18 %</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2026F</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credit_opinion-veolia-environnement-sa-04may2026.pdf, p. 7, https://www.veolia.com/sites/g/files/dvc4206/files/document/2026/05/Credit_Opinion-Veolia-Environnement-SA-04May2026.pdf (consulté le 2026-10-02)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F149</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Moody's : FFO / dette nette ajustée attendu, haut de fourchette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19 %</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2026F</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credit_opinion-veolia-environnement-sa-04may2026.pdf, p. 7, https://www.veolia.com/sites/g/files/dvc4206/files/document/2026/05/Credit_Opinion-Veolia-Environnement-SA-04May2026.pdf (consulté le 2026-10-02)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F150</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Moody's : dette nette ajustée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25.4 Md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credit_opinion-veolia-environnement-sa-04may2026.pdf, p. 7, https://www.veolia.com/sites/g/files/dvc4206/files/document/2026/05/Credit_Opinion-Veolia-Environnement-SA-04May2026.pdf (consulté le 2026-10-02)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F151</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Moody's : dette nette ajustée, pic attendu, environ</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29 Md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2026F</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credit_opinion-veolia-environnement-sa-04may2026.pdf, p. 7, https://www.veolia.com/sites/g/files/dvc4206/files/document/2026/05/Credit_Opinion-Veolia-Environnement-SA-04May2026.pdf (consulté le 2026-10-02)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F152</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Moody's : seuil de dégradation, FFO / dette nette sous (libellé publié)</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high teens %</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2026-2027</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credit_opinion-veolia-environnement-sa-04may2026.pdf, p. 2, https://www.veolia.com/sites/g/files/dvc4206/files/document/2026/05/Credit_Opinion-Veolia-Environnement-SA-04May2026.pdf (consulté le 2026-10-02)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F153</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Moody's : condition de relèvement, FFO / dette nette dans (libellé publié)</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low-to-mid 20s %</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2026-2027</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credit_opinion-veolia-environnement-sa-04may2026.pdf, p. 2, https://www.veolia.com/sites/g/files/dvc4206/files/document/2026/05/Credit_Opinion-Veolia-Environnement-SA-04May2026.pdf (consulté le 2026-10-02)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F154</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Moody's : FFO / dette nette ajustée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19.6 %</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FY2023</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credit_opinion-veolia-environnement-sa-04may2026.pdf, p. 11, https://www.veolia.com/sites/g/files/dvc4206/files/document/2026/05/Credit_Opinion-Veolia-Environnement-SA-04May2026.pdf (consulté le 2026-10-02)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F155</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Moody's : FFO / dette nette ajustée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21.3 %</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FY2024</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credit_opinion-veolia-environnement-sa-04may2026.pdf, p. 11, https://www.veolia.com/sites/g/files/dvc4206/files/document/2026/05/Credit_Opinion-Veolia-Environnement-SA-04May2026.pdf (consulté le 2026-10-02)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F156</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Moody's : RCF / dette nette ajustée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15.0 %</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credit_opinion-veolia-environnement-sa-04may2026.pdf, p. 10, https://www.veolia.com/sites/g/files/dvc4206/files/document/2026/05/Credit_Opinion-Veolia-Environnement-SA-04May2026.pdf (consulté le 2026-10-02)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F157</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Moody's : dette / EBITDA ajustés (grille de notation)</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5.1 x</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credit_opinion-veolia-environnement-sa-04may2026.pdf, p. 10, https://www.veolia.com/sites/g/files/dvc4206/files/document/2026/05/Credit_Opinion-Veolia-Environnement-SA-04May2026.pdf (consulté le 2026-10-02)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F158</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Moody's : levier net selon la définition de Veolia</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2.8 x</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credit_opinion-veolia-environnement-sa-04may2026.pdf, p. 6, https://www.veolia.com/sites/g/files/dvc4206/files/document/2026/05/Credit_Opinion-Veolia-Environnement-SA-04May2026.pdf (consulté le 2026-10-02)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F159</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Moody's : cessions envisagées d'actifs non stratégiques ou matures, environ</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2 Md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2026-2028</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credit_opinion-veolia-environnement-sa-04may2026.pdf, p. 6, https://www.veolia.com/sites/g/files/dvc4206/files/document/2026/05/Credit_Opinion-Veolia-Environnement-SA-04May2026.pdf (consulté le 2026-10-02)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F160</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Moody's : chiffre d'affaires du segment Déchets dangereux</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4.2 Md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credit_opinion-veolia-environnement-sa-04may2026.pdf, p. 5, https://www.veolia.com/sites/g/files/dvc4206/files/document/2026/05/Credit_Opinion-Veolia-Environnement-SA-04May2026.pdf (consulté le 2026-10-02)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4</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F161</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Moody's : part des déchets dangereux dans le chiffre d'affaires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9.5 %</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credit_opinion-veolia-environnement-sa-04may2026.pdf, p. 5, https://www.veolia.com/sites/g/files/dvc4206/files/document/2026/05/Credit_Opinion-Veolia-Environnement-SA-04May2026.pdf (consulté le 2026-10-02)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4</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F162</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Moody's : chiffre d'affaires déchets dangereux pro forma avec Clean Earth</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5.1 Md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credit_opinion-veolia-environnement-sa-04may2026.pdf, p. 5, https://www.veolia.com/sites/g/files/dvc4206/files/document/2026/05/Credit_Opinion-Veolia-Environnement-SA-04May2026.pdf (consulté le 2026-10-02)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4</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F163</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S&amp;P : seuil de dégradation, FFO / dette ajustés durablement sous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18 %</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2026-2028</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ratingsdirect_tearsheet_veoliaenvironnements.a._3552186_apr-27-2026.pdf, p. 3, https://www.veolia.com/sites/g/files/dvc4206/files/document/2026/04/RatingsDirect_TearSheet_VeoliaEnvironnementS.A._3552186_Apr-27-2026.pdf (consulté le 2026-10-02)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F164</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S&amp;P : FFO / dette ajustés attendu, bas de fourchette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20 %</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2026-2028</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ratingsdirect_tearsheet_veoliaenvironnements.a._3552186_apr-27-2026.pdf, p. 3, https://www.veolia.com/sites/g/files/dvc4206/files/document/2026/04/RatingsDirect_TearSheet_VeoliaEnvironnementS.A._3552186_Apr-27-2026.pdf (consulté le 2026-10-02)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F165</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S&amp;P : FFO / dette ajustés attendu, haut de fourchette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22 %</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2026-2028</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ratingsdirect_tearsheet_veoliaenvironnements.a._3552186_apr-27-2026.pdf, p. 3, https://www.veolia.com/sites/g/files/dvc4206/files/document/2026/04/RatingsDirect_TearSheet_VeoliaEnvironnementS.A._3552186_Apr-27-2026.pdf (consulté le 2026-10-02)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F166</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S&amp;P : croissance annuelle attendue de l'EBITDA publié, bas de fourchette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4 %</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2026-2028</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ratingsdirect_tearsheet_veoliaenvironnements.a._3552186_apr-27-2026.pdf, p. 3, https://www.veolia.com/sites/g/files/dvc4206/files/document/2026/04/RatingsDirect_TearSheet_VeoliaEnvironnementS.A._3552186_Apr-27-2026.pdf (consulté le 2026-10-02)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F167</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S&amp;P : croissance annuelle attendue de l'EBITDA publié, haut de fourchette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5 %</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2026-2028</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ratingsdirect_tearsheet_veoliaenvironnements.a._3552186_apr-27-2026.pdf, p. 3, https://www.veolia.com/sites/g/files/dvc4206/files/document/2026/04/RatingsDirect_TearSheet_VeoliaEnvironnementS.A._3552186_Apr-27-2026.pdf (consulté le 2026-10-02)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F168</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Chiffre d'affaires Water Technologies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4,954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finance_veolia_2025_full_year_results_presentation_0.pdf, p. 23, https://www.veolia.com/sites/g/files/dvc4206/files/document/2026/03/Finance_Veolia_2025_full_year_results_presentation_0.pdf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4</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F169</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Croissance organique du chiffre d'affaires Water Technologies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+3.6 %</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finance_veolia_2025_full_year_results_presentation_0.pdf, p. 23, https://www.veolia.com/sites/g/files/dvc4206/files/document/2026/03/Finance_Veolia_2025_full_year_results_presentation_0.pdf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4</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F170</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EBITDA Water Technologies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669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finance_veolia_2025_full_year_results_presentation_0.pdf, p. 23, https://www.veolia.com/sites/g/files/dvc4206/files/document/2026/03/Finance_Veolia_2025_full_year_results_presentation_0.pdf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4</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F171</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Croissance organique de l'EBITDA Water Technologies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+14.1 %</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finance_veolia_2025_full_year_results_presentation_0.pdf, p. 23, https://www.veolia.com/sites/g/files/dvc4206/files/document/2026/03/Finance_Veolia_2025_full_year_results_presentation_0.pdf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4</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F172</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Chiffre d'affaires Amériques, Asie-Pacifique, Afrique Moyen-Orient</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11,316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finance_veolia_2025_full_year_results_presentation_0.pdf, p. 23, https://www.veolia.com/sites/g/files/dvc4206/files/document/2026/03/Finance_Veolia_2025_full_year_results_presentation_0.pdf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4</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F173</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Croissance organique du chiffre d'affaires Amériques, Asie-Pacifique, Afrique Moyen-Orient</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+4.1 %</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finance_veolia_2025_full_year_results_presentation_0.pdf, p. 23, https://www.veolia.com/sites/g/files/dvc4206/files/document/2026/03/Finance_Veolia_2025_full_year_results_presentation_0.pdf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4</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F174</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EBITDA Amériques, Asie-Pacifique, Afrique Moyen-Orient</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2,009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finance_veolia_2025_full_year_results_presentation_0.pdf, p. 23, https://www.veolia.com/sites/g/files/dvc4206/files/document/2026/03/Finance_Veolia_2025_full_year_results_presentation_0.pdf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4</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F175</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Croissance organique de l'EBITDA Amériques, Asie-Pacifique, Afrique Moyen-Orient</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+9.3 %</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finance_veolia_2025_full_year_results_presentation_0.pdf, p. 23, https://www.veolia.com/sites/g/files/dvc4206/files/document/2026/03/Finance_Veolia_2025_full_year_results_presentation_0.pdf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4</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F176</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Chiffre d'affaires Europe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19,206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finance_veolia_2025_full_year_results_presentation_0.pdf, p. 23, https://www.veolia.com/sites/g/files/dvc4206/files/document/2026/03/Finance_Veolia_2025_full_year_results_presentation_0.pdf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4</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F177</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EBITDA Europe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2,758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finance_veolia_2025_full_year_results_presentation_0.pdf, p. 23, https://www.veolia.com/sites/g/files/dvc4206/files/document/2026/03/Finance_Veolia_2025_full_year_results_presentation_0.pdf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4</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F178</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Croissance organique de l'EBITDA Europe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+1.8 %</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finance_veolia_2025_full_year_results_presentation_0.pdf, p. 23, https://www.veolia.com/sites/g/files/dvc4206/files/document/2026/03/Finance_Veolia_2025_full_year_results_presentation_0.pdf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4</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F179</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Chiffre d'affaires France et Déchets dangereux Europe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8,914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finance_veolia_operating_and_financial_review_2025.pdf, p. 12, https://www.veolia.com/sites/g/files/dvc4206/files/document/2026/02/Finance_Veolia_Operating_and_financial_review_2025.pdf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4</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F180</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Chiffre d'affaires France et Déchets dangereux Europe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9,145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FY2024</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finance_veolia_operating_and_financial_review_2025.pdf, p. 12, https://www.veolia.com/sites/g/files/dvc4206/files/document/2026/02/Finance_Veolia_Operating_and_financial_review_2025.pdf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4</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F181</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Chiffre d'affaires Europe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18,619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FY2024</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finance_veolia_operating_and_financial_review_2025.pdf, p. 12, https://www.veolia.com/sites/g/files/dvc4206/files/document/2026/02/Finance_Veolia_Operating_and_financial_review_2025.pdf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4</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F182</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Chiffre d'affaires Amériques, Asie-Pacifique, Afrique Moyen-Orient</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11,945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FY2024</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finance_veolia_operating_and_financial_review_2025.pdf, p. 12, https://www.veolia.com/sites/g/files/dvc4206/files/document/2026/02/Finance_Veolia_Operating_and_financial_review_2025.pdf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4</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F183</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EBITDA Europe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2,642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FY2024</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finance_veolia_operating_and_financial_review_2025.pdf, p. 13, https://www.veolia.com/sites/g/files/dvc4206/files/document/2026/02/Finance_Veolia_Operating_and_financial_review_2025.pdf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4</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F184</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EBITDA Amériques, Asie-Pacifique, Afrique Moyen-Orient</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2,025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FY2024</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finance_veolia_operating_and_financial_review_2025.pdf, p. 13, https://www.veolia.com/sites/g/files/dvc4206/files/document/2026/02/Finance_Veolia_Operating_and_financial_review_2025.pdf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4</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F185</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Boosters : chiffre d'affaires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13,191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finance_veolia_2025_full_year_results_presentation_0.pdf, p. 7, https://www.veolia.com/sites/g/files/dvc4206/files/document/2026/03/Finance_Veolia_2025_full_year_results_presentation_0.pdf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4</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F186</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Boosters : croissance organique du chiffre d'affaires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+4.3 %</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finance_veolia_2025_full_year_results_presentation_0.pdf, p. 7, https://www.veolia.com/sites/g/files/dvc4206/files/document/2026/03/Finance_Veolia_2025_full_year_results_presentation_0.pdf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4</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F187</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Boosters : croissance organique de l'EBITDA</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+12.1 %</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finance_veolia_2025_full_year_results_presentation_0.pdf, p. 7, https://www.veolia.com/sites/g/files/dvc4206/files/document/2026/03/Finance_Veolia_2025_full_year_results_presentation_0.pdf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4</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F188</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Boosters : EBITDA</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1,668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finance_veolia_2025_full_year_results_presentation_0.pdf, p. 25, https://www.veolia.com/sites/g/files/dvc4206/files/document/2026/03/Finance_Veolia_2025_full_year_results_presentation_0.pdf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4</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F189</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Boosters : marge d'EBITDA</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12.6 %</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finance_veolia_2025_full_year_results_presentation_0.pdf, p. 25, https://www.veolia.com/sites/g/files/dvc4206/files/document/2026/03/Finance_Veolia_2025_full_year_results_presentation_0.pdf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4</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F190</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Bioénergie, flexibilité, efficacité énergétique : chiffre d'affaires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4,021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finance_veolia_2025_full_year_results_presentation_0.pdf, p. 25, https://www.veolia.com/sites/g/files/dvc4206/files/document/2026/03/Finance_Veolia_2025_full_year_results_presentation_0.pdf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4</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F191</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Bioénergie, flexibilité, efficacité énergétique : EBITDA</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312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finance_veolia_2025_full_year_results_presentation_0.pdf, p. 25, https://www.veolia.com/sites/g/files/dvc4206/files/document/2026/03/Finance_Veolia_2025_full_year_results_presentation_0.pdf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4</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F192</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Bioénergie, flexibilité, efficacité énergétique : chiffre d'affaires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3,471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FY2024</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finance_veolia_2025_full_year_results_presentation_0.pdf, p. 41, https://www.veolia.com/sites/g/files/dvc4206/files/document/2026/03/Finance_Veolia_2025_full_year_results_presentation_0.pdf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4</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F193</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Bioénergie, flexibilité, efficacité énergétique : EBITDA</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246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FY2024</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finance_veolia_2025_full_year_results_presentation_0.pdf, p. 41, https://www.veolia.com/sites/g/files/dvc4206/files/document/2026/03/Finance_Veolia_2025_full_year_results_presentation_0.pdf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4</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F194</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Chiffre d'affaires Water Technologies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2,213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S1 2026</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veolia_finance_presentation_h1_2026_results.pdf, p. 19, https://www.veolia.com/sites/g/files/dvc4206/files/document/2026/07/Veolia_Finance_presentation_H1_2026_results.pdf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4</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F195</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Croissance organique du chiffre d'affaires Water Technologies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-4.8 %</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S1 2026</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veolia_finance_presentation_h1_2026_results.pdf, p. 19, https://www.veolia.com/sites/g/files/dvc4206/files/document/2026/07/Veolia_Finance_presentation_H1_2026_results.pdf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4</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F196</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EBITDA Water Technologies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294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S1 2026</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veolia_finance_presentation_h1_2026_results.pdf, p. 19, https://www.veolia.com/sites/g/files/dvc4206/files/document/2026/07/Veolia_Finance_presentation_H1_2026_results.pdf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4</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F197</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KPI GreenUp : émissions de GES évitées (scope 4), base 2023</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13.45 Mt CO2e</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2023</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12,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4</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F198</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KPI GreenUp : émissions de GES évitées, progression vs 2023</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+13 %</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2024</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12,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4</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F199</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KPI GreenUp : émissions de GES évitées, progression vs 2023</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+23.6 %</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12,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4</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F200</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KPI GreenUp : émissions de GES évitées, objectif vs 2023</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+30 %</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2027</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12,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4</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F201</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KPI GreenUp : eau douce économisée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1.45 Md m3</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2024</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12,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4</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F202</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KPI GreenUp : eau douce économisée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1.574 Md m3</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12,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4</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F203</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KPI GreenUp : eau douce économisée, objectif au moins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1.5 Md m3</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2027</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12,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4</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F204</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KPI GreenUp : émissions de GES évitées, objectif</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18 Mt CO2e</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2027</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191,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4</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F205</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Gains d'efficacité (et non synergies)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398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FY2024</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finance_2024_full_year_results_presentation.pdf, p. 5, https://www.veolia.com/sites/g/files/dvc4206/files/document/2025/02/Finance_2024_full_year_results_presentation.pdf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F206</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Synergies Suez cumulées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435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FY2024</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finance_2024_full_year_results_presentation.pdf, p. 5, https://www.veolia.com/sites/g/files/dvc4206/files/document/2025/02/Finance_2024_full_year_results_presentation.pdf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F207</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Synergies Suez : objectif cumulé relevé (initial 500)</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530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 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finance_operating_and_financial_review_2024.pdf, p. 18, https://www.veolia.com/sites/g/files/dvc4206/files/document/2025/02/Finance_Operating_and_financial_review_2024.pdf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F208</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Synergies Suez cumulées réalisées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534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finance_veolia_operating_and_financial_review_2025.pdf, p. 17, https://www.veolia.com/sites/g/files/dvc4206/files/document/2026/02/Finance_Veolia_Operating_and_financial_review_2025.pdf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F209</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Enviri : chiffre d'affaires du segment Clean Earth</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973.9 M USD</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enviri-10-k-2025.pdf, p. 69, https://www.sec.gov/Archives/edgar/data/45876/000004587626000010/nvri-20251231.htm (consulté le 2026-10-02)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6</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F210</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Enviri : chiffre d'affaires du segment Clean Earth</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940.3 M USD</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FY2024</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enviri-10-k-2025.pdf, p. 69, https://www.sec.gov/Archives/edgar/data/45876/000004587626000010/nvri-20251231.htm (consulté le 2026-10-02)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6</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F211</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Enviri : résultat opérationnel du segment Clean Earth</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91.7 M USD</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enviri-10-k-2025.pdf, p. 70, https://www.sec.gov/Archives/edgar/data/45876/000004587626000010/nvri-20251231.htm (consulté le 2026-10-02)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6</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F212</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Enviri : résultat opérationnel du segment Clean Earth</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92.6 M USD</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FY2024</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enviri-10-k-2025.pdf, p. 70, https://www.sec.gov/Archives/edgar/data/45876/000004587626000010/nvri-20251231.htm (consulté le 2026-10-02)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6</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F213</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Enviri : dépréciation du segment Clean Earth</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39,778 k USD</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enviri-10-k-2025.pdf, p. 284, https://www.sec.gov/Archives/edgar/data/45876/000004587626000010/nvri-20251231.htm (consulté le 2026-10-02)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6</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F214</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Enviri : amortissement du segment Clean Earth</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23,644 k USD</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enviri-10-k-2025.pdf, p. 284, https://www.sec.gov/Archives/edgar/data/45876/000004587626000010/nvri-20251231.htm (consulté le 2026-10-02)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6</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F215</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Enviri : actifs totaux du segment Clean Earth</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1,036,916 k USD</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enviri-10-k-2025.pdf, p. 284, https://www.sec.gov/Archives/edgar/data/45876/000004587626000010/nvri-20251231.htm (consulté le 2026-10-02)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6</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F216</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Enviri : prix de cession de Clean Earth à Veolia, plus de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3.0 Md USD</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annonce 11/2025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enviri-10-k-2025.pdf, p. 68, https://www.sec.gov/Archives/edgar/data/45876/000004587626000010/nvri-20251231.htm (consulté le 2026-10-02)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6</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F217</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Enviri : covenant dette nette / EBITDA ajusté après la vente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3.00 x</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2026</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enviri-10-k-2025.pdf, p. 68, https://www.sec.gov/Archives/edgar/data/45876/000004587626000010/nvri-20251231.htm (consulté le 2026-10-02)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F218</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Enviri : passifs environnementaux, part courante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12,736 k USD</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enviri-10-k-2025.pdf, p. 251, https://www.sec.gov/Archives/edgar/data/45876/000004587626000010/nvri-20251231.htm (consulté le 2026-10-02)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5</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F219</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Enviri : passifs environnementaux, part non courante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38,256 k USD</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enviri-10-k-2025.pdf, p. 251, https://www.sec.gov/Archives/edgar/data/45876/000004587626000010/nvri-20251231.htm (consulté le 2026-10-02)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5</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F220</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Clean Harbors : chiffre d'affaires direct Environmental Services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5,193,290 k USD</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clean-harbors-10-k-2025.pdf, p. 34, https://www.sec.gov/Archives/edgar/data/822818/000082281826000009/clh-20251231.htm (consulté le 2026-10-02)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4</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F221</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Clean Harbors : chiffre d'affaires direct Safety-Kleen Sustainability Solutions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837,361 k USD</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clean-harbors-10-k-2025.pdf, p. 34, https://www.sec.gov/Archives/edgar/data/822818/000082281826000009/clh-20251231.htm (consulté le 2026-10-02)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4</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F222</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Clean Harbors : EBITDA ajusté Environmental Services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1,343,776 k USD</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clean-harbors-10-k-2025.pdf, p. 34, https://www.sec.gov/Archives/edgar/data/822818/000082281826000009/clh-20251231.htm (consulté le 2026-10-02)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4</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F223</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Clean Harbors : EBITDA ajusté Safety-Kleen Sustainability Solutions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137,454 k USD</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clean-harbors-10-k-2025.pdf, p. 34, https://www.sec.gov/Archives/edgar/data/822818/000082281826000009/clh-20251231.htm (consulté le 2026-10-02)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4</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F224</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Clean Harbors : chiffre d'affaires direct total</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6,030.8 M USD</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clean-harbors-10-k-2025.pdf, p. 33, https://www.sec.gov/Archives/edgar/data/822818/000082281826000009/clh-20251231.htm (consulté le 2026-10-02)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4</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F225</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Clean Harbors : EBITDA ajusté total</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1,169,939 k USD</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clean-harbors-10-k-2025.pdf, p. 38, https://www.sec.gov/Archives/edgar/data/822818/000082281826000009/clh-20251231.htm (consulté le 2026-10-02)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4</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F226</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Clean Harbors : marge d'EBITDA ajusté</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19.4 %</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clean-harbors-10-k-2025.pdf, p. 38, https://www.sec.gov/Archives/edgar/data/822818/000082281826000009/clh-20251231.htm (consulté le 2026-10-02)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4</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F227</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Chiffre d'affaires Amériques, Asie-Pacifique, Afrique Moyen-Orient</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5,747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S1 2026</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veolia_finance_presentation_h1_2026_results.pdf, p. 19, https://www.veolia.com/sites/g/files/dvc4206/files/document/2026/07/Veolia_Finance_presentation_H1_2026_results.pdf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4</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F228</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Chiffre d'affaires Europe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9,905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S1 2026</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veolia_finance_presentation_h1_2026_results.pdf, p. 19, https://www.veolia.com/sites/g/files/dvc4206/files/document/2026/07/Veolia_Finance_presentation_H1_2026_results.pdf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4</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F229</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Boosters : chiffre d'affaires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6,201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S1 2026</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veolia_finance_presentation_h1_2026_results.pdf, p. 10, https://www.veolia.com/sites/g/files/dvc4206/files/document/2026/07/Veolia_Finance_presentation_H1_2026_results.pdf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4</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F230</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Boosters : croissance organique du chiffre d'affaires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+4.1 %</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S1 2026</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veolia_finance_presentation_h1_2026_results.pdf, p. 10, https://www.veolia.com/sites/g/files/dvc4206/files/document/2026/07/Veolia_Finance_presentation_H1_2026_results.pdf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4</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F231</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Boosters : EBITDA</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797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S1 2026</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veolia_finance_presentation_h1_2026_results.pdf, p. 10, https://www.veolia.com/sites/g/files/dvc4206/files/document/2026/07/Veolia_Finance_presentation_H1_2026_results.pdf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4</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F232</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Boosters : croissance organique de l'EBITDA</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+6.2 %</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S1 2026</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veolia_finance_presentation_h1_2026_results.pdf, p. 10, https://www.veolia.com/sites/g/files/dvc4206/files/document/2026/07/Veolia_Finance_presentation_H1_2026_results.pdf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4</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F233</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Bioénergie, flexibilité, efficacité énergétique : chiffre d'affaires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1,759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S1 2026</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veolia_finance_presentation_h1_2026_results.pdf, p. 22, https://www.veolia.com/sites/g/files/dvc4206/files/document/2026/07/Veolia_Finance_presentation_H1_2026_results.pdf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4</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F234</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Bioénergie, flexibilité, efficacité énergétique : croissance organique de l'EBITDA</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+11.3 %</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S1 2026</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veolia_finance_presentation_h1_2026_results.pdf, p. 22, https://www.veolia.com/sites/g/files/dvc4206/files/document/2026/07/Veolia_Finance_presentation_H1_2026_results.pdf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4</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F235</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GreenUp : chiffre d'affaires bioénergie, flexibilité, efficacité énergétique (base)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3 Md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2023</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en_master_greenup_strategy-day_v270324.pdf, p. 17, https://www.veolia.com/sites/g/files/dvc4206/files/document/2024/03/EN_Master_GreenUp_Strategy%20day_V270324.pdf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4</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F236</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GreenUp : ambition de chiffre d'affaires bioénergie, flexibilité, efficacité énergétique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4.9 Md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2027</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en_master_greenup_strategy-day_v270324.pdf, p. 17, https://www.veolia.com/sites/g/files/dvc4206/files/document/2024/03/EN_Master_GreenUp_Strategy%20day_V270324.pdf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4</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F237</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Clean Harbors : passifs de fermeture et post-fermeture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135,328 k USD</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clean-harbors-10-k-2025.pdf, p. 43, https://www.sec.gov/Archives/edgar/data/822818/000082281826000009/clh-20251231.htm (consulté le 2026-10-02)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5</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F238</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Clean Harbors : passifs de dépollution (remedial)</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95,369 k USD</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clean-harbors-10-k-2025.pdf, p. 43, https://www.sec.gov/Archives/edgar/data/822818/000082281826000009/clh-20251231.htm (consulté le 2026-10-02)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5</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F239</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Clean Harbors : passifs environnementaux totaux</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230,697 k USD</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clean-harbors-10-k-2025.pdf, p. 43, https://www.sec.gov/Archives/edgar/data/822818/000082281826000009/clh-20251231.htm (consulté le 2026-10-02)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5</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F240</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Clean Harbors : trésorerie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826,315 k USD</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clean-harbors-10-k-2025.pdf, p. 53, https://www.sec.gov/Archives/edgar/data/822818/000082281826000009/clh-20251231.htm (consulté le 2026-10-02)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4</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F241</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Clean Harbors : titres de placement court terme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127,363 k USD</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clean-harbors-10-k-2025.pdf, p. 53, https://www.sec.gov/Archives/edgar/data/822818/000082281826000009/clh-20251231.htm (consulté le 2026-10-02)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4</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F242</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Clean Harbors : dette long terme hors part courante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2,763,563 k USD</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clean-harbors-10-k-2025.pdf, p. 53, https://www.sec.gov/Archives/edgar/data/822818/000082281826000009/clh-20251231.htm (consulté le 2026-10-02)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4</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F243</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Clean Harbors : part courante de la dette long terme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12,600 k USD</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clean-harbors-10-k-2025.pdf, p. 53, https://www.sec.gov/Archives/edgar/data/822818/000082281826000009/clh-20251231.htm (consulté le 2026-10-02)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4</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F244</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Moody's : FFO / dette nette ajustée prévu</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18.5 %</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2026F</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credit_opinion-veolia-environnement-sa-04may2026.pdf, p. 2, https://www.veolia.com/sites/g/files/dvc4206/files/document/2026/05/Credit_Opinion-Veolia-Environnement-SA-04May2026.pdf (consulté le 2026-10-02)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F245</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Moody's : FFO / dette nette ajustée prévu</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19.5 %</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2027F</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credit_opinion-veolia-environnement-sa-04may2026.pdf, p. 2, https://www.veolia.com/sites/g/files/dvc4206/files/document/2026/05/Credit_Opinion-Veolia-Environnement-SA-04May2026.pdf (consulté le 2026-10-02)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F246</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Moody's : RCF / dette nette ajustée prévu</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13.5 %</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2026F</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credit_opinion-veolia-environnement-sa-04may2026.pdf, p. 2, https://www.veolia.com/sites/g/files/dvc4206/files/document/2026/05/Credit_Opinion-Veolia-Environnement-SA-04May2026.pdf (consulté le 2026-10-02)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F247</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Moody's : RCF / dette nette ajustée prévu</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14.5 %</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2027F</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credit_opinion-veolia-environnement-sa-04may2026.pdf, p. 2, https://www.veolia.com/sites/g/files/dvc4206/files/document/2026/05/Credit_Opinion-Veolia-Environnement-SA-04May2026.pdf (consulté le 2026-10-02)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F248</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Moody's : (FFO + intérêts) / intérêts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5.4 x</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credit_opinion-veolia-environnement-sa-04may2026.pdf, p. 2, https://www.veolia.com/sites/g/files/dvc4206/files/document/2026/05/Credit_Opinion-Veolia-Environnement-SA-04May2026.pdf (consulté le 2026-10-02)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F249</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Moody's : dette brute publiée (as reported debt)</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29,518.0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credit_opinion-veolia-environnement-sa-04may2026.pdf, p. 11, https://www.veolia.com/sites/g/files/dvc4206/files/document/2026/05/Credit_Opinion-Veolia-Environnement-SA-04May2026.pdf (consulté le 2026-10-02)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F250</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Moody's : ajustement pensions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647.0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credit_opinion-veolia-environnement-sa-04may2026.pdf, p. 11, https://www.veolia.com/sites/g/files/dvc4206/files/document/2026/05/Credit_Opinion-Veolia-Environnement-SA-04May2026.pdf (consulté le 2026-10-02)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F251</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Moody's : ajustement titres hybrides (50 % en dette)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2,050.0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credit_opinion-veolia-environnement-sa-04may2026.pdf, p. 11, https://www.veolia.com/sites/g/files/dvc4206/files/document/2026/05/Credit_Opinion-Veolia-Environnement-SA-04May2026.pdf (consulté le 2026-10-02)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F252</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Moody's : ajustement titrisation</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1,014.0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credit_opinion-veolia-environnement-sa-04may2026.pdf, p. 11, https://www.veolia.com/sites/g/files/dvc4206/files/document/2026/05/Credit_Opinion-Veolia-Environnement-SA-04May2026.pdf (consulté le 2026-10-02)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F253</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Moody's : ajustements non standard</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1,650.0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credit_opinion-veolia-environnement-sa-04may2026.pdf, p. 11, https://www.veolia.com/sites/g/files/dvc4206/files/document/2026/05/Credit_Opinion-Veolia-Environnement-SA-04May2026.pdf (consulté le 2026-10-02)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F254</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Moody's : dette brute ajustée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34,879.0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credit_opinion-veolia-environnement-sa-04may2026.pdf, p. 11, https://www.veolia.com/sites/g/files/dvc4206/files/document/2026/05/Credit_Opinion-Veolia-Environnement-SA-04May2026.pdf (consulté le 2026-10-02)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F255</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Moody's : trésorerie retenue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9,475.0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credit_opinion-veolia-environnement-sa-04may2026.pdf, p. 11, https://www.veolia.com/sites/g/files/dvc4206/files/document/2026/05/Credit_Opinion-Veolia-Environnement-SA-04May2026.pdf (consulté le 2026-10-02)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F256</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Moody's : dette nette ajustée (Exhibit 13)</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25,404.0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credit_opinion-veolia-environnement-sa-04may2026.pdf, p. 11, https://www.veolia.com/sites/g/files/dvc4206/files/document/2026/05/Credit_Opinion-Veolia-Environnement-SA-04May2026.pdf (consulté le 2026-10-02)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F257</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Moody's : dette nette ajustée (Exhibit 13)</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23,273.0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FY2024</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credit_opinion-veolia-environnement-sa-04may2026.pdf, p. 11, https://www.veolia.com/sites/g/files/dvc4206/files/document/2026/05/Credit_Opinion-Veolia-Environnement-SA-04May2026.pdf (consulté le 2026-10-02)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F258</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Moody's : ajustement titres hybrides (50 % en dette)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1,800.0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FY2024</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credit_opinion-veolia-environnement-sa-04may2026.pdf, p. 11, https://www.veolia.com/sites/g/files/dvc4206/files/document/2026/05/Credit_Opinion-Veolia-Environnement-SA-04May2026.pdf (consulté le 2026-10-02)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F259</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Moody's : EBITDA publié selon Moody's (as reported EBITDA)</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6,464.0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credit_opinion-veolia-environnement-sa-04may2026.pdf, p. 11, https://www.veolia.com/sites/g/files/dvc4206/files/document/2026/05/Credit_Opinion-Veolia-Environnement-SA-04May2026.pdf (consulté le 2026-10-02)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F260</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Moody's : EBITDA ajusté</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6,777.8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credit_opinion-veolia-environnement-sa-04may2026.pdf, p. 11, https://www.veolia.com/sites/g/files/dvc4206/files/document/2026/05/Credit_Opinion-Veolia-Environnement-SA-04May2026.pdf (consulté le 2026-10-02)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F261</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Moody's : FFO (funds from operations)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5,160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credit_opinion-veolia-environnement-sa-04may2026.pdf, p. 12, https://www.veolia.com/sites/g/files/dvc4206/files/document/2026/05/Credit_Opinion-Veolia-Environnement-SA-04May2026.pdf (consulté le 2026-10-02)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F262</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Moody's : FFO (funds from operations)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4,948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FY2024</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credit_opinion-veolia-environnement-sa-04may2026.pdf, p. 12, https://www.veolia.com/sites/g/files/dvc4206/files/document/2026/05/Credit_Opinion-Veolia-Environnement-SA-04May2026.pdf (consulté le 2026-10-02)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F263</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Moody's : FFO (funds from operations)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4,655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FY2023</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credit_opinion-veolia-environnement-sa-04may2026.pdf, p. 12, https://www.veolia.com/sites/g/files/dvc4206/files/document/2026/05/Credit_Opinion-Veolia-Environnement-SA-04May2026.pdf (consulté le 2026-10-02)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F264</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Moody's : dividendes (y compris minoritaires et hybrides)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1,341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credit_opinion-veolia-environnement-sa-04may2026.pdf, p. 12, https://www.veolia.com/sites/g/files/dvc4206/files/document/2026/05/Credit_Opinion-Veolia-Environnement-SA-04May2026.pdf (consulté le 2026-10-02)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F265</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Moody's : RCF (retained cash flow)</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3,819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credit_opinion-veolia-environnement-sa-04may2026.pdf, p. 12, https://www.veolia.com/sites/g/files/dvc4206/files/document/2026/05/Credit_Opinion-Veolia-Environnement-SA-04May2026.pdf (consulté le 2026-10-02)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F266</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Moody's : cash-flow opérationnel (CFO)</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4,681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credit_opinion-veolia-environnement-sa-04may2026.pdf, p. 12, https://www.veolia.com/sites/g/files/dvc4206/files/document/2026/05/Credit_Opinion-Veolia-Environnement-SA-04May2026.pdf (consulté le 2026-10-02)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F267</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Moody's : free cash flow (après dividendes et capex)</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-272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credit_opinion-veolia-environnement-sa-04may2026.pdf, p. 12, https://www.veolia.com/sites/g/files/dvc4206/files/document/2026/05/Credit_Opinion-Veolia-Environnement-SA-04May2026.pdf (consulté le 2026-10-02)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F268</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Moody's : charge d'intérêts ajustée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1,162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credit_opinion-veolia-environnement-sa-04may2026.pdf, p. 12, https://www.veolia.com/sites/g/files/dvc4206/files/document/2026/05/Credit_Opinion-Veolia-Environnement-SA-04May2026.pdf (consulté le 2026-10-02)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F269</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Moody's : dette nette ajustée / EBITDA ajusté</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3.7 x</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credit_opinion-veolia-environnement-sa-04may2026.pdf, p. 12, https://www.veolia.com/sites/g/files/dvc4206/files/document/2026/05/Credit_Opinion-Veolia-Environnement-SA-04May2026.pdf (consulté le 2026-10-02)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F270</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Moody's : dette brute ajustée / EBITDA ajusté</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5.1 x</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credit_opinion-veolia-environnement-sa-04may2026.pdf, p. 12, https://www.veolia.com/sites/g/files/dvc4206/files/document/2026/05/Credit_Opinion-Veolia-Environnement-SA-04May2026.pdf (consulté le 2026-10-02)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F271</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Sous-total des emprunts (dette brute)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29,518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351,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F272</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Trésorerie et équivalents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8,021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351,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F273</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Actifs liquides et actifs liés au financement</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1,952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351,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F274</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Juste valeur des dérivés de couverture de dette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276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351,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F275</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Sous-total des emprunts (dette brute)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29,283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31/12/2024</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351,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F276</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Trésorerie et équivalents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9,601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31/12/2024</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351,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F260-1175</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Passifs financiers non courants et courants : total</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29,303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405,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F261-adbb</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Passifs financiers non courants et courants : part courante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8,810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405,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F262-be63</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Passifs financiers non courants et courants : part non courante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20,492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405,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F263-9c0d</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Emprunts obligataires : total</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17,992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405,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F264-79b1</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Autres passifs financiers : total</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9,328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405,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F265-b673</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Dette de loyers IFRS 16 : total</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1,983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405,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F266-5358</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Passifs financiers non courants et courants : total</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29,085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31/12/2024</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405,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F267-af42</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Emprunts obligataires à moins d'un an</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1,451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406,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F268-a1f9</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Emprunts obligataires à échéance de 1 à 3 ans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4,536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406,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F269-d934</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Emprunts obligataires à échéance de 4 à 5 ans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3,128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406,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F270-167d</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Emprunts obligataires à plus de 5 ans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8,877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406,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F271-543e</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Souche obligataire euro à échéance du 09/06/2026 : nominal</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750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406,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F272-40a3</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Souche obligataire euro à échéance du 30/11/2026 : nominal</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650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406,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F273-8f68</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Émissions obligataires de l'exercice (souscriptions)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1,879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406,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F274-d310</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Remboursements obligataires de l'exercice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-1,482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406,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F275-5e72</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Émission obligataire du 17/06/2025, tranche 2032 : nominal</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850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406,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F276-facd</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Émission obligataire du 17/06/2025, tranche 2032 : taux</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3.324 %</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406,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F277</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Émission obligataire du 17/06/2025, tranche 2037 : nominal</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650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406,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F278</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Émission obligataire du 17/06/2025, tranche 2037 : taux</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3.795 %</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406,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F279</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Souche EMTN Series 43, échéance 14/01/2027 : nominal</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700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407,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F280</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Souche EMTN Series 43, échéance 14/01/2027 : taux</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0.000 %</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407,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F281</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Souche EMTN Series 29 (PEO), échéance 30/03/2027 : nominal</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750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407,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F282</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Souche EMTN Series 29 (PEO), échéance 30/03/2027 : taux</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4.625 %</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407,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F283</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Souche EMTN Series 23, échéance 02/04/2027 : nominal</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850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407,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F284</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Souche EMTN Series 23, échéance 02/04/2027 : taux</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1.250 %</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407,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F285</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Souche EMTN Series 3, échéance 08/06/2027 : nominal</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250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407,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F286</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Souche EMTN Series 3, échéance 08/06/2027 : taux</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1.904 %</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407,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F287</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Souche EMTN Series 31 (PEO), échéance 10/01/2028 : nominal</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500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407,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F288</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Souche EMTN Series 31 (PEO), échéance 10/01/2028 : taux</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1.590 %</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407,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F289</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Souche EMTN Series 9 (GBP), échéance 02/12/2030 : nominal</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287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407,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F290</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Souches EMTN : nominal total</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13,831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407,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F291</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Emprunts obligataires non courants : valeur nette comptable totale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16,541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407,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F292</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Autres passifs financiers à moins d'un an</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6,890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408,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F293</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Autres passifs financiers à échéance de 1 à 3 ans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1,064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408,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F294</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Autres passifs financiers à échéance de 4 à 5 ans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462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408,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F295</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Autres passifs financiers à plus de 5 ans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911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408,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F296</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Billets de trésorerie (commercial paper) de Veolia Environnement</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4,933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408,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F297</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Titres super-subordonnés dont le remboursement est notifié, payés le 09/02/2026</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863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408,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F298</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Intérêts courus sur la dette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186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408,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F299</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Remboursement de billets de trésorerie sur l'exercice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1,108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408,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F300</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Dette de loyers IFRS 16 à 1 an</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469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409,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F301</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Dette de loyers IFRS 16 à 2 ans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361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409,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F302</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Dette de loyers IFRS 16 à 3 ans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300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409,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F303</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Dette de loyers IFRS 16 à 4 ans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184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409,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F304</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Dette de loyers IFRS 16 à 5 ans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136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409,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F305</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Dette de loyers IFRS 16 à plus de 5 ans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532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409,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F306</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Remboursements de dette de loyers IFRS 16</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556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409,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F307</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Loyers de la période (remboursements, intérêts, loyers variables)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637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409,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F308</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Tableau de flux : capacité d'autofinancement avant variation du BFR</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6,144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362,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F309</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Tableau de flux : capacité d'autofinancement avant variation du BFR</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5,818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FY2024</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362,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F310</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Tableau de flux : variation du BFR opérationnel</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-120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362,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F311</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Tableau de flux : variation du BFR opérationnel</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75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FY2024</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362,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F312</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Tableau de flux : variation du BFR des concessions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-278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362,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F313</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Tableau de flux : variation du BFR des concessions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-270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FY2024</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362,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F314</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Tableau de flux : impôts payés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-596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362,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F315</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Tableau de flux : impôts payés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-579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FY2024</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362,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F316</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Tableau de flux : flux nets des activités opérationnelles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5,153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362,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F317</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Tableau de flux : flux nets des activités opérationnelles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5,038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FY2024</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362,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F318</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Tableau de flux : investissements industriels nets de subventions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-3,056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362,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F319</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Tableau de flux : remboursements d'actifs financiers opérationnels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227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FY2024</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362,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F320</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Tableau de flux : dividendes reçus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105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362,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F321</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Tableau de flux : dividendes reçus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123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FY2024</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362,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F322</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Tableau de flux : flux nets des activités d'investissement</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-3,296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362,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F323</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Tableau de flux : flux nets des activités d'investissement</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-2,115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FY2024</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362,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F324</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Tableau de flux : coût de l'endettement financier net</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654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362,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F325</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Tableau de flux : coût de l'endettement financier net</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590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FY2024</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362,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F326</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Tableau de flux : charge d'impôt</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587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362,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F327</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Tableau de flux : charge d'impôt</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566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FY2024</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362,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F328</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Tableau de flux : intérêts payés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-619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363,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F329</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Tableau de flux : intérêts payés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-585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FY2024</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363,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F330</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Tableau de flux : intérêts sur actifs IFRIC 12</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-78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363,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F331</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Tableau de flux : intérêts sur actifs IFRIC 12</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-86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FY2024</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363,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F332</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Tableau de flux : intérêts sur dette de loyers IFRS 16</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-67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363,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F333</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Tableau de flux : intérêts sur dette de loyers IFRS 16</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-66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FY2024</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363,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F334</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Tableau de flux : coupons des titres super-subordonnés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-121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363,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F335</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Tableau de flux : coupons des titres super-subordonnés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-81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FY2024</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363,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F336</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Tableau de flux : dividendes versés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-1,280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363,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F337</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Tableau de flux : dividendes versés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-1,218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FY2024</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363,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F338</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Tableau de flux : remboursement de la dette de loyers IFRS 16 courante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-506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363,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F339</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Tableau de flux : remboursement de la dette de loyers IFRS 16 courante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-541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FY2024</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363,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F340</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Tableau de flux : nouveaux emprunts non courants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2,766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363,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F341</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Tableau de flux : nouveaux emprunts non courants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1,462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FY2024</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363,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F342</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Tableau de flux : remboursements d'emprunts non courants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-186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363,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F343</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Tableau de flux : remboursements d'emprunts non courants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-619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FY2024</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363,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F344</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Tableau de flux : variation des passifs financiers courants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-2,170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363,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F345</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Tableau de flux : variation des passifs financiers courants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-5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FY2024</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363,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F346</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Tableau de flux : émission / remboursement de titres super-subordonnés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492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363,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F347</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Tableau de flux : émission / remboursement de titres super-subordonnés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-221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FY2024</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363,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F348</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Tableau de flux : réduction de capital</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-402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363,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F349</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Flux contractuels non actualisés : emprunts obligataires, 2027</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3,043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421,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F350</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Flux contractuels non actualisés : emprunts obligataires, 2028</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2,447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421,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F351</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Flux contractuels non actualisés : emprunts obligataires, 2029</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1,781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421,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F352</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Flux contractuels non actualisés : emprunts obligataires, 2030</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2,006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421,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F353</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Flux contractuels non actualisés : emprunts obligataires, au-delà de 5 ans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11,065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421,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F354</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Flux contractuels non actualisés : autres passifs et découverts bancaires, total</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9,977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421,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F355</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Flux contractuels non actualisés : autres passifs et découverts bancaires, 2026</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7,219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421,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F356</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Flux contractuels non actualisés : autres passifs et découverts bancaires, 2027</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465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421,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F357</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Flux contractuels non actualisés : autres passifs et découverts bancaires, 2028</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728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421,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F358</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Flux contractuels non actualisés : autres passifs et découverts bancaires, 2029</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302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421,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F359</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Flux contractuels non actualisés : autres passifs et découverts bancaires, 2030</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254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421,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F360</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Flux contractuels non actualisés : autres passifs et découverts bancaires, au-delà de 5 ans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1,009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421,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F361</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Flux contractuels non actualisés : dette de loyers IFRS 16, total</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2,162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421,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F362</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Flux contractuels non actualisés : dette de loyers IFRS 16, 2026</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499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421,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F363</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Flux contractuels non actualisés : dette de loyers IFRS 16, 2027</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384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421,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F364</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Flux contractuels non actualisés : dette de loyers IFRS 16, 2028</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317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421,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F365</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Flux contractuels non actualisés : dette de loyers IFRS 16, 2029</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198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421,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F366</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Flux contractuels non actualisés : dette de loyers IFRS 16, 2030</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147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421,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F367</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Flux contractuels non actualisés : dette de loyers IFRS 16, au-delà de 5 ans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618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421,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F368</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Flux contractuels non actualisés : passifs financiers bruts, 2027</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3,891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421,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F369</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Flux contractuels non actualisés : passifs financiers bruts, 2028</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3,492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421,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F370</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Flux contractuels non actualisés : passifs financiers bruts, 2029</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2,281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421,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F371</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Flux contractuels non actualisés : passifs financiers bruts, 2030</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2,407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421,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F372</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Flux contractuels non actualisés : passifs financiers bruts, au-delà de 5 ans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12,692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421,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F373</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Ligne de crédit syndiquée non tirée (Veolia Environnement)</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4,500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421,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F374</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Lignes de crédit bilatérales MT non tirées (Veolia Environnement)</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765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421,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F375</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Trésorerie, équivalents, actifs liquides et de financement (Veolia Environnement)</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7,551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421,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F376</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Lignes de crédit bilatérales des filiales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673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421,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F377</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Souche EMTN Series 41, échéance 15/04/2028 : nominal</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700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407,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F378</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Souche EMTN Series 41, échéance 15/04/2028 : taux</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1.250 %</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407,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F379</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Souche EMTN Series 17, échéance 19/05/2028 : nominal</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800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407,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F380</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Souche EMTN Series 17, échéance 19/05/2028 : taux</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1.250 %</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407,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F381</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Souche EMTN Series 34, échéance 04/01/2029 : nominal</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500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407,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F382</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Souche EMTN Series 19, échéance 03/04/2029 : nominal</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700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407,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F383</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Souche EMTN Series 13, échéance 21/05/2029 : nominal</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75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407,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F384</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Souche EMTN Series 38, échéance 07/01/2030 : nominal</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750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407,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F385</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Souche EMTN Series 15, échéance 01/07/2030 : nominal</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50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407,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F386</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Souche EMTN Series 21, échéance 17/09/2030 : nominal</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500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407,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F387</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Tableau de flux : investissements industriels nets de subventions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-2,965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FY2024</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362,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F388</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Tableau de flux : cessions d'actifs industriels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199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362,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F389</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Tableau de flux : cessions d'actifs industriels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212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FY2024</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362,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F390</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Tableau de flux : acquisitions de titres (purchases of investments)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-702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362,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F391</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Tableau de flux : acquisitions de titres (purchases of investments)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-482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FY2024</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362,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F392</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Tableau de flux : cessions d'actifs financiers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59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362,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F393</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Tableau de flux : cessions d'actifs financiers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949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FY2024</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362,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F394</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Tableau de flux : nouveaux actifs financiers opérationnels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-156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362,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F395</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Tableau de flux : nouveaux actifs financiers opérationnels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-225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FY2024</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362,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F396</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Tableau de flux : remboursements d'actifs financiers opérationnels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268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362,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F397</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Tableau de flux : transactions avec les minoritaires : achats partiels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-1,563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363,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F398</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Tableau de flux : transactions avec les minoritaires : achats partiels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-32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FY2024</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363,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F399</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Tableau de flux : émission d'actions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318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363,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F400</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Tableau de flux : émission d'actions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341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FY2024</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363,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F401</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Tableau de flux : flux nets des activités de financement</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-3,358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363,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F402</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Tableau de flux : flux nets des activités de financement</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-1,857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FY2024</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363,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F403</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Tableau de flux : trésorerie nette de clôture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7,806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363,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F404</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Tableau de flux : trésorerie nette de clôture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9,404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FY2024</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363,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F405</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Flux contractuels non actualisés : emprunts obligataires, total</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22,265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421,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F406</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Flux contractuels non actualisés : emprunts obligataires, 2026</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1,924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421,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F407</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Flux contractuels non actualisés : passifs financiers bruts, total</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34,404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421,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F408</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Flux contractuels non actualisés : passifs financiers bruts, 2026</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9,642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421,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F409</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Trésorerie, équivalents, actifs liquides et de financement (filiales)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2,422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421,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F410</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Dettes courantes, découverts bancaires et autres : total</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9,026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421,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F411</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Liquidités nettes des dettes courantes et découverts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6,886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421,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F412</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Total des liquidités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17,792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31/12/2024</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421,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F413</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Liquidités nettes des dettes courantes et découverts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8,313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31/12/2024</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421,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F414</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Ligne de crédit syndiquée : échéance après prolongation</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2030 année</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421,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F415</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Lignes de crédit confirmées non tirées : total</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5,938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422,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F416</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Lignes de crédit confirmées non tirées : échéance 2030</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4,650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422,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F417</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Total des liquidités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15,911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421,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F418</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GreenUp : EBITDA de base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6.5 Md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2023</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en_master_greenup_strategy-day_v270324.pdf, p. 58, https://www.veolia.com/sites/g/files/dvc4206/files/document/2024/03/EN_Master_GreenUp_Strategy%20day_V270324.pdf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4</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F419</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GreenUp : croissance annuelle moyenne de l'EBITDA 2023-2027, environ</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5 %</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2023-2027</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en_master_greenup_strategy-day_v270324.pdf, p. 58, https://www.veolia.com/sites/g/files/dvc4206/files/document/2024/03/EN_Master_GreenUp_Strategy%20day_V270324.pdf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4</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F420</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GreenUp : gains d'efficacité par an</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350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2024-2027</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en_master_greenup_strategy-day_v270324.pdf, p. 58, https://www.veolia.com/sites/g/files/dvc4206/files/document/2024/03/EN_Master_GreenUp_Strategy%20day_V270324.pdf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4</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F421</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GreenUp : synergies de coûts attendues en 2024-2025, environ</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200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2024-2025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en_master_greenup_strategy-day_v270324.pdf, p. 58, https://www.veolia.com/sites/g/files/dvc4206/files/document/2024/03/EN_Master_GreenUp_Strategy%20day_V270324.pdf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4</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F422</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GreenUp : synergies Suez cumulées 2022-2025 confirmées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500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2022-2025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en_master_greenup_strategy-day_v270324.pdf, p. 58, https://www.veolia.com/sites/g/files/dvc4206/files/document/2024/03/EN_Master_GreenUp_Strategy%20day_V270324.pdf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4</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F423</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GreenUp : croissance annuelle moyenne du résultat net courant 2023-2027, environ</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10 %</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2023-2027</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en_master_greenup_strategy-day_v270324.pdf, p. 69, https://www.veolia.com/sites/g/files/dvc4206/files/document/2024/03/EN_Master_GreenUp_Strategy%20day_V270324.pdf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4</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F424</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Gains d'efficacité annuels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399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finance_veolia_2025_full_year_results_presentation_0.pdf, p. 21, https://www.veolia.com/sites/g/files/dvc4206/files/document/2026/03/Finance_Veolia_2025_full_year_results_presentation_0.pdf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4</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F425</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Croissance organique de l'EBITDA (groupe)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+6.3 %</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finance_veolia_2025_full_year_results_presentation_0.pdf, p. 21, https://www.veolia.com/sites/g/files/dvc4206/files/document/2026/03/Finance_Veolia_2025_full_year_results_presentation_0.pdf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4</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F426</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Marge d'EBITDA (groupe)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15.9 %</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finance_veolia_2025_full_year_results_presentation_0.pdf, p. 21, https://www.veolia.com/sites/g/files/dvc4206/files/document/2026/03/Finance_Veolia_2025_full_year_results_presentation_0.pdf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4</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F427</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Croissance organique du chiffre d'affaires hors prix de l'énergie (groupe)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+2.8 %</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finance_veolia_2025_full_year_results_presentation_0.pdf, p. 21, https://www.veolia.com/sites/g/files/dvc4206/files/document/2026/03/Finance_Veolia_2025_full_year_results_presentation_0.pdf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4</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F428</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Boosters : croissance du chiffre d'affaires tuck-ins compris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+8 %</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finance_veolia_2025_full_year_results_presentation_0.pdf, p. 21, https://www.veolia.com/sites/g/files/dvc4206/files/document/2026/03/Finance_Veolia_2025_full_year_results_presentation_0.pdf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4</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F429</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Strongholds : chiffre d'affaires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31,205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finance_veolia_2025_full_year_results_presentation_0.pdf, p. 24, https://www.veolia.com/sites/g/files/dvc4206/files/document/2026/03/Finance_Veolia_2025_full_year_results_presentation_0.pdf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4</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F430</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Strongholds : croissance organique du chiffre d'affaires hors prix de l'énergie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+2.2 %</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finance_veolia_2025_full_year_results_presentation_0.pdf, p. 24, https://www.veolia.com/sites/g/files/dvc4206/files/document/2026/03/Finance_Veolia_2025_full_year_results_presentation_0.pdf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4</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F431</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Strongholds : EBITDA</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5,383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finance_veolia_2025_full_year_results_presentation_0.pdf, p. 24, https://www.veolia.com/sites/g/files/dvc4206/files/document/2026/03/Finance_Veolia_2025_full_year_results_presentation_0.pdf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4</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F432</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Strongholds : croissance organique de l'EBITDA</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+4.8 %</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finance_veolia_2025_full_year_results_presentation_0.pdf, p. 24, https://www.veolia.com/sites/g/files/dvc4206/files/document/2026/03/Finance_Veolia_2025_full_year_results_presentation_0.pdf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4</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F433</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Strongholds : marge d'EBITDA</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17.2 %</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finance_veolia_2025_full_year_results_presentation_0.pdf, p. 24, https://www.veolia.com/sites/g/files/dvc4206/files/document/2026/03/Finance_Veolia_2025_full_year_results_presentation_0.pdf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4</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F434</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Eau municipale : chiffre d'affaires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12,739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finance_veolia_2025_full_year_results_presentation_0.pdf, p. 24, https://www.veolia.com/sites/g/files/dvc4206/files/document/2026/03/Finance_Veolia_2025_full_year_results_presentation_0.pdf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4</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F435</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Eau municipale : EBITDA</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2,729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finance_veolia_2025_full_year_results_presentation_0.pdf, p. 24, https://www.veolia.com/sites/g/files/dvc4206/files/document/2026/03/Finance_Veolia_2025_full_year_results_presentation_0.pdf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4</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F436</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Eau municipale : croissance organique de l'EBITDA</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+6.1 %</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finance_veolia_2025_full_year_results_presentation_0.pdf, p. 24, https://www.veolia.com/sites/g/files/dvc4206/files/document/2026/03/Finance_Veolia_2025_full_year_results_presentation_0.pdf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4</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F437</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Réseaux de chaleur et de froid : chiffre d'affaires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7,240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finance_veolia_2025_full_year_results_presentation_0.pdf, p. 24, https://www.veolia.com/sites/g/files/dvc4206/files/document/2026/03/Finance_Veolia_2025_full_year_results_presentation_0.pdf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4</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F438</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Réseaux de chaleur et de froid : EBITDA</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1,087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finance_veolia_2025_full_year_results_presentation_0.pdf, p. 24, https://www.veolia.com/sites/g/files/dvc4206/files/document/2026/03/Finance_Veolia_2025_full_year_results_presentation_0.pdf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4</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F439</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Réseaux de chaleur et de froid : croissance organique de l'EBITDA</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-1.5 %</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finance_veolia_2025_full_year_results_presentation_0.pdf, p. 24, https://www.veolia.com/sites/g/files/dvc4206/files/document/2026/03/Finance_Veolia_2025_full_year_results_presentation_0.pdf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4</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F440</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Déchets solides : chiffre d'affaires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11,226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finance_veolia_2025_full_year_results_presentation_0.pdf, p. 24, https://www.veolia.com/sites/g/files/dvc4206/files/document/2026/03/Finance_Veolia_2025_full_year_results_presentation_0.pdf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4</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F441</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Déchets solides : EBITDA</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1,566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finance_veolia_2025_full_year_results_presentation_0.pdf, p. 24, https://www.veolia.com/sites/g/files/dvc4206/files/document/2026/03/Finance_Veolia_2025_full_year_results_presentation_0.pdf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4</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F442</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Déchets solides : croissance organique de l'EBITDA</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+6.8 %</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finance_veolia_2025_full_year_results_presentation_0.pdf, p. 24, https://www.veolia.com/sites/g/files/dvc4206/files/document/2026/03/Finance_Veolia_2025_full_year_results_presentation_0.pdf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4</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F443</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Espagne : nombre de tuck-ins intégrés en deux ans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13 tuck-ins</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2024-2025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finance_veolia_2025_full_year_results_presentation_0.pdf, p. 19, https://www.veolia.com/sites/g/files/dvc4206/files/document/2026/03/Finance_Veolia_2025_full_year_results_presentation_0.pdf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6</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F444</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Espagne : valeur d'entreprise totale des tuck-ins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87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2024-2025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finance_veolia_2025_full_year_results_presentation_0.pdf, p. 19, https://www.veolia.com/sites/g/files/dvc4206/files/document/2026/03/Finance_Veolia_2025_full_year_results_presentation_0.pdf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6</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F445</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Espagne : multiple moyen des tuck-ins, environ</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7.4 x</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2024-2025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finance_veolia_2025_full_year_results_presentation_0.pdf, p. 19, https://www.veolia.com/sites/g/files/dvc4206/files/document/2026/03/Finance_Veolia_2025_full_year_results_presentation_0.pdf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6</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F446</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Espagne : gains d'efficacité et synergies en deux ans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109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2024-2025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finance_veolia_2025_full_year_results_presentation_0.pdf, p. 19, https://www.veolia.com/sites/g/files/dvc4206/files/document/2026/03/Finance_Veolia_2025_full_year_results_presentation_0.pdf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4</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F447</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Guidance 2026 : croissance du résultat net courant Clean Earth inclus, au moins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8 %</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2026</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veolia_finance_presentation_h1_2026_results.pdf, p. 30, https://www.veolia.com/sites/g/files/dvc4206/files/document/2026/07/Veolia_Finance_presentation_H1_2026_results.pdf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F448</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Chiffre d'affaires du groupe (IFRS 8.33)</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44,396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375,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F449</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Chiffre d'affaires du groupe (IFRS 8.33)</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44,692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FY2024</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375,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F450</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Chiffre d'affaires par pays : France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8,547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375,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F451</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Chiffre d'affaires par pays : États-Unis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4,683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375,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F452</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Chiffre d'affaires par pays : Allemagne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3,097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375,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F453</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Chiffre d'affaires par pays : Espagne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3,035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375,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F454</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Chiffre d'affaires par pays : Pologne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3,007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375,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F455</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Chiffre d'affaires par pays : Royaume-Uni</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2,978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375,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F456</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Chiffre d'affaires par pays : République tchèque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2,165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375,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F457</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Chiffre d'affaires par pays : Australie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2,023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375,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F458</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Chiffre d'affaires par pays : Italie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1,160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375,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F459</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Chiffre d'affaires par pays : Belgique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1,081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375,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F460</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Chiffre d'affaires par pays : Belgique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1,084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FY2024</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375,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F461</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Chiffre d'affaires par pays : Hongrie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1,070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375,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F462</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Chiffre d'affaires par pays : Hongrie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816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FY2024</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375,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F463</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Chiffre d'affaires par pays : Maroc</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932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375,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F464</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Chiffre d'affaires par pays : Maroc</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1,266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FY2024</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375,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F465</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Chiffre d'affaires par pays : Chine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908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375,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F466</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Chiffre d'affaires par pays : Chili</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807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375,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F467</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Chiffre d'affaires par pays : Japon</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609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375,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F468</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Chiffre d'affaires par pays : Hong Kong</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581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375,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F469</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Chiffre d'affaires par pays : Slovaquie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504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375,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F470</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Chiffre d'affaires par pays : autres pays (moins de 500 M EUR chacun)</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7,207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375,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F471</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Tuck-ins 2025 (États-Unis, Brésil, Japon) : montant</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370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finance_veolia_2025_full_year_results_presentation_0.pdf, p. 11, https://www.veolia.com/sites/g/files/dvc4206/files/document/2026/03/Finance_Veolia_2025_full_year_results_presentation_0.pdf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6</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F472</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Tuck-ins 2025 (États-Unis, Brésil, Japon) : multiple moyen VE / EBITDA, environ</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9 x</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finance_veolia_2025_full_year_results_presentation_0.pdf, p. 11, https://www.veolia.com/sites/g/files/dvc4206/files/document/2026/03/Finance_Veolia_2025_full_year_results_presentation_0.pdf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6</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F473</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WTS, rachat des 30 % : multiple VE / EBITDA 2025e après synergies, environ</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11 x</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2025e</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finance_veolia_q1_presentation_2025.pdf, p. 11, https://www.veolia.com/sites/g/files/dvc4206/files/document/2025/05/Finance_Veolia_Q1_presentation_2025.pdf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6</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F474</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Stericycle (WM) : valeur d'entreprise, environ</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7.2 Md USD</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annonce 06/2024</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wm-stericycle-2024-06-03.html, p. 1, https://mediaroom.wm.com/2024-06-03-WM-to-Acquire-Stericycle,-a-Leader-in-Medical-Waste-Services,-for-7-2-Billion (consulté le 2026-10-06)</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6</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F475</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Stericycle (WM) : dette nette comprise dans la valeur d'entreprise, environ</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1.4 Md USD</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annonce 06/2024</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wm-stericycle-2024-06-03.html, p. 1, https://mediaroom.wm.com/2024-06-03-WM-to-Acquire-Stericycle,-a-Leader-in-Medical-Waste-Services,-for-7-2-Billion (consulté le 2026-10-06)</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6</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F476</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Stericycle (WM) : prix par action</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62.00 USD</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annonce 06/2024</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wm-stericycle-2024-06-03.html, p. 1, https://mediaroom.wm.com/2024-06-03-WM-to-Acquire-Stericycle,-a-Leader-in-Medical-Waste-Services,-for-7-2-Billion (consulté le 2026-10-06)</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6</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F477</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Stericycle (WM) : synergies annuelles attendues, plus de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125 M USD</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régime de croisière</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wm-stericycle-2024-06-03.html, p. 1, https://mediaroom.wm.com/2024-06-03-WM-to-Acquire-Stericycle,-a-Leader-in-Medical-Waste-Services,-for-7-2-Billion (consulté le 2026-10-06)</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6</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F478</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HEPACO (Clean Harbors) : prix d'acquisition</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400 M USD</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03/2024</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clean-harbors-hepaco-2024-03-25.html, p. 1, https://www.cleanharbors.com/2024/clean-harbors-completes-acquisition-of-hepaco (consulté le 2026-10-06)</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6</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F479</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HEPACO (Clean Harbors) : EBITDA ajusté 2023, environ</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36 M USD</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FY2023</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clean-harbors-hepaco-2024-03-25.html, p. 1, https://www.cleanharbors.com/2024/clean-harbors-completes-acquisition-of-hepaco (consulté le 2026-10-06)</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6</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F480</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HEPACO (Clean Harbors) : chiffre d'affaires 2023</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270 M USD</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FY2023</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clean-harbors-hepaco-2024-03-25.html, p. 1, https://www.cleanharbors.com/2024/clean-harbors-completes-acquisition-of-hepaco (consulté le 2026-10-06)</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6</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F481</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HEPACO (Clean Harbors) : EBITDA ajusté attendu en 2024, environ</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30 M USD</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2024</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clean-harbors-hepaco-2024-03-25.html, p. 1, https://www.cleanharbors.com/2024/clean-harbors-completes-acquisition-of-hepaco (consulté le 2026-10-06)</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6</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F482</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HEPACO (Clean Harbors) : synergies de coûts attendues, environ</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20 M USD</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année 1</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clean-harbors-hepaco-2024-03-25.html, p. 1, https://www.cleanharbors.com/2024/clean-harbors-completes-acquisition-of-hepaco (consulté le 2026-10-06)</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6</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F483</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HEPACO (Clean Harbors) : multiple après synergies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7.1 x</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2024</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clean-harbors-hepaco-2024-03-25.html, p. 1, https://www.cleanharbors.com/2024/clean-harbors-completes-acquisition-of-hepaco (consulté le 2026-10-06)</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6</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F484</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Covanta (EQT) : valeur de la transaction, dette comprise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5.3 Md USD</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annonce 07/2021</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eqt-covanta-2021-07-14.html, p. 1, https://www.prnewswire.com/news-releases/eqt-infrastructure-to-acquire-covanta-holding-corporation-a-global-leader-in-waste-to-energy-solutions-for-usd-5-3-billion-301333761.html (consulté le 2026-10-06)</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6</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F485</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Covanta (EQT) : prix par action</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20.25 USD</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annonce 07/2021</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eqt-covanta-2021-07-14.html, p. 1, https://www.prnewswire.com/news-releases/eqt-infrastructure-to-acquire-covanta-holding-corporation-a-global-leader-in-waste-to-energy-solutions-for-usd-5-3-billion-301333761.html (consulté le 2026-10-06)</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6</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F486</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Covanta (EQT) : EBITDA ajusté 2021 attendu, bas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460 M USD</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2021e</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eqt-covanta-2021-07-14.html, p. 1, https://www.prnewswire.com/news-releases/eqt-infrastructure-to-acquire-covanta-holding-corporation-a-global-leader-in-waste-to-energy-solutions-for-usd-5-3-billion-301333761.html (consulté le 2026-10-06)</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6</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F487</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Covanta (EQT) : EBITDA ajusté 2021 attendu, haut</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480 M USD</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2021e</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eqt-covanta-2021-07-14.html, p. 1, https://www.prnewswire.com/news-releases/eqt-infrastructure-to-acquire-covanta-holding-corporation-a-global-leader-in-waste-to-energy-solutions-for-usd-5-3-billion-301333761.html (consulté le 2026-10-06)</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6</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F488</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Taxonomie 2025 : chiffre d'affaires total</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44.4 Md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250,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5</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F489</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Taxonomie 2025 : chiffre d'affaires éligible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27.8 Md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250,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5</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F490</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Taxonomie 2025 : chiffre d'affaires éligible et aligné</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20.3 Md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250,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5</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F491</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Taxonomie 2025 : capex total</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4.5 Md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250,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5</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F492</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Taxonomie 2025 : capex éligible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3.0 Md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250,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5</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F493</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Taxonomie 2025 : capex éligible et aligné</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2.1 Md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250,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5</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F494</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Taxonomie 2024 : capex total</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4.1 Md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FY2024</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250,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5</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F495</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Taxonomie 2024 : capex éligible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2.6 Md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FY2024</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250,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5</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F496</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Taxonomie 2024 : capex éligible et aligné</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1.8 Md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FY2024</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250,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5</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F497</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Taxonomie 2024 : chiffre d'affaires éligible et aligné</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19.7 Md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FY2024</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250,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5</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F498</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Taxonomie 2025 : part du capex éligible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65.7 %</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250,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5</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F499</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Taxonomie 2025 : part du capex éligible et aligné</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47.2 %</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250,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5</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F500</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Taxonomie 2025 : part du chiffre d'affaires éligible et aligné</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45.7 %</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250,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5</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F501</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Taxonomie 2025, eau et assainissement : chiffre d'affaires éligible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11.4 Md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250,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5</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F502</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Taxonomie 2025, eau et assainissement : chiffre d'affaires éligible et aligné</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6.9 Md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250,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5</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F503</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Taxonomie 2025, eau et assainissement : capex éligible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1.4 Md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250,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5</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F504</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Taxonomie 2025, eau et assainissement : capex éligible et aligné</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0.8 Md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250,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5</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F505</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Taxonomie 2025, collecte et traitement des déchets pour l'économie circulaire (déchets dangereux compris) : chiffre d'affaires éligible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4.2 Md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250,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5</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F506</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Taxonomie 2025, collecte et traitement des déchets pour l'économie circulaire (déchets dangereux compris) : chiffre d'affaires éligible et aligné</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3.6 Md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250,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5</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F507</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Taxonomie 2025, collecte et traitement des déchets pour l'économie circulaire (déchets dangereux compris) : capex éligible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0.4 Md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250,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5</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F508</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Taxonomie 2025, collecte et traitement des déchets pour l'économie circulaire (déchets dangereux compris) : capex éligible et aligné</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0.4 Md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250,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5</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F509</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Taxonomie 2025, collecte et traitement des déchets dangereux, prévention de la pollution (PPC 2.1, 2.2) : chiffre d'affaires éligible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2.3 Md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250,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5</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F510</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Taxonomie 2025, collecte et traitement des déchets dangereux, prévention de la pollution (PPC 2.1, 2.2) : chiffre d'affaires éligible et aligné</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1.5 Md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250,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5</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F511</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Taxonomie 2025, collecte et traitement des déchets dangereux, prévention de la pollution (PPC 2.1, 2.2) : capex éligible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0.4 Md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250,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5</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F512</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Taxonomie 2025, collecte et traitement des déchets dangereux, prévention de la pollution (PPC 2.1, 2.2) : capex éligible et aligné</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0.3 Md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250,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5</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F513</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Taxonomie 2025, énergie produite et distribuée : chiffre d'affaires éligible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6.1 Md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250,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5</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F514</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Taxonomie 2025, énergie produite et distribuée : chiffre d'affaires éligible et aligné</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5.1 Md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250,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5</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F515</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Taxonomie 2025, énergie produite et distribuée : capex éligible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0.6 Md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250,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5</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F516</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Taxonomie 2025, énergie produite et distribuée : capex éligible et aligné</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0.5 Md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250,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5</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F517</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Taxonomie 2025, services énergétiques aux infrastructures : chiffre d'affaires éligible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3.5 Md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250,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5</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F518</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Taxonomie 2025, services énergétiques aux infrastructures : chiffre d'affaires éligible et aligné</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2.8 Md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250,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5</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F519</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Taxonomie 2025, services énergétiques aux infrastructures : capex éligible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0.2 Md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250,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5</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F520</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Taxonomie 2025, services énergétiques aux infrastructures : capex éligible et aligné</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0.1 Md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250,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5</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F521</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Taxonomie 2025, autres activités éligibles : chiffre d'affaires éligible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0.4 Md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250,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5</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F522</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Taxonomie 2025, autres activités éligibles : chiffre d'affaires éligible et aligné</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0.3 Md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250,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5</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F523</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Taxonomie 2025, autres activités éligibles : capex éligible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0.1 Md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250,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5</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F524</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Taxonomie 2025, autres activités éligibles : capex éligible et aligné</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0.0 Md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250,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5</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F525</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US Ecology (Republic Services) : valeur totale, dette nette comprise, environ</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2.2 Md USD</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annonce 02/2022</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bic-us-ecology-republic-2022.html, p. 1, https://www.bicmagazine.com/industry/investment-banking/us-ecology-joins-republic-services/ (consulté le 2026-10-06)</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6</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F526</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US Ecology (Republic Services) : prix par action</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48 USD</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annonce 02/2022</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bic-us-ecology-republic-2022.html, p. 1, https://www.bicmagazine.com/industry/investment-banking/us-ecology-joins-republic-services/ (consulté le 2026-10-06)</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6</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F527</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US Ecology (Republic Services) : EBITDA ajusté 12 mois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156 M USD</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au 30/09/2021</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bic-us-ecology-republic-2022.html, p. 1, https://www.bicmagazine.com/industry/investment-banking/us-ecology-joins-republic-services/ (consulté le 2026-10-06)</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6</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F528</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US Ecology (Republic Services) : chiffre d'affaires 12 mois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968 M USD</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au 30/09/2021</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bic-us-ecology-republic-2022.html, p. 1, https://www.bicmagazine.com/industry/investment-banking/us-ecology-joins-republic-services/ (consulté le 2026-10-06)</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6</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F529</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US Ecology (Republic Services) : synergies attendues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40 M USD</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à 3 ans</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bic-us-ecology-republic-2022.html, p. 1, https://www.bicmagazine.com/industry/investment-banking/us-ecology-joins-republic-services/ (consulté le 2026-10-06)</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6</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F530</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Moody's, pairs : ACEA, notation et perspective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Baa1 Stable</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05/2026</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credit_opinion-veolia-environnement-sa-04may2026.pdf, p. 11, https://www.veolia.com/sites/g/files/dvc4206/files/document/2026/05/Credit_Opinion-Veolia-Environnement-SA-04May2026.pdf (consulté le 2026-10-02)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F531</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Moody's, pairs : ACEA, EBITDA ajusté</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1,415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LTM 06/2025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credit_opinion-veolia-environnement-sa-04may2026.pdf, p. 11, https://www.veolia.com/sites/g/files/dvc4206/files/document/2026/05/Credit_Opinion-Veolia-Environnement-SA-04May2026.pdf (consulté le 2026-10-02)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F532</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Moody's, pairs : ACEA, FFO / dette nette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20.3 %</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LTM 06/2025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credit_opinion-veolia-environnement-sa-04may2026.pdf, p. 11, https://www.veolia.com/sites/g/files/dvc4206/files/document/2026/05/Credit_Opinion-Veolia-Environnement-SA-04May2026.pdf (consulté le 2026-10-02)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F533</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Moody's, pairs : ACEA, RCF / dette nette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17.5 %</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LTM 06/2025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credit_opinion-veolia-environnement-sa-04may2026.pdf, p. 11, https://www.veolia.com/sites/g/files/dvc4206/files/document/2026/05/Credit_Opinion-Veolia-Environnement-SA-04May2026.pdf (consulté le 2026-10-02)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F534</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Moody's, pairs : ACEA, dette / EBITDA</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4.2 x</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LTM 06/2025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credit_opinion-veolia-environnement-sa-04may2026.pdf, p. 11, https://www.veolia.com/sites/g/files/dvc4206/files/document/2026/05/Credit_Opinion-Veolia-Environnement-SA-04May2026.pdf (consulté le 2026-10-02)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F535</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Moody's, pairs : Hera, notation et perspective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Baa1 Stable</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05/2026</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credit_opinion-veolia-environnement-sa-04may2026.pdf, p. 11, https://www.veolia.com/sites/g/files/dvc4206/files/document/2026/05/Credit_Opinion-Veolia-Environnement-SA-04May2026.pdf (consulté le 2026-10-02)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F536</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Moody's, pairs : Hera, EBITDA ajusté</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1,476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LTM 06/2025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credit_opinion-veolia-environnement-sa-04may2026.pdf, p. 11, https://www.veolia.com/sites/g/files/dvc4206/files/document/2026/05/Credit_Opinion-Veolia-Environnement-SA-04May2026.pdf (consulté le 2026-10-02)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F537</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Moody's, pairs : Hera, FFO / dette nette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23.3 %</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LTM 06/2025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credit_opinion-veolia-environnement-sa-04may2026.pdf, p. 11, https://www.veolia.com/sites/g/files/dvc4206/files/document/2026/05/Credit_Opinion-Veolia-Environnement-SA-04May2026.pdf (consulté le 2026-10-02)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F538</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Moody's, pairs : Hera, RCF / dette nette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16.9 %</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LTM 06/2025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credit_opinion-veolia-environnement-sa-04may2026.pdf, p. 11, https://www.veolia.com/sites/g/files/dvc4206/files/document/2026/05/Credit_Opinion-Veolia-Environnement-SA-04May2026.pdf (consulté le 2026-10-02)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F539</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Moody's, pairs : Hera, dette / EBITDA</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3.8 x</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LTM 06/2025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credit_opinion-veolia-environnement-sa-04may2026.pdf, p. 11, https://www.veolia.com/sites/g/files/dvc4206/files/document/2026/05/Credit_Opinion-Veolia-Environnement-SA-04May2026.pdf (consulté le 2026-10-02)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F540</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Moody's, pairs : Suez, notation et perspective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Baa2 Negative</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05/2026</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credit_opinion-veolia-environnement-sa-04may2026.pdf, p. 11, https://www.veolia.com/sites/g/files/dvc4206/files/document/2026/05/Credit_Opinion-Veolia-Environnement-SA-04May2026.pdf (consulté le 2026-10-02)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F541</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Moody's, pairs : Suez, EBITDA ajusté</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1,088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LTM 06/2025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credit_opinion-veolia-environnement-sa-04may2026.pdf, p. 11, https://www.veolia.com/sites/g/files/dvc4206/files/document/2026/05/Credit_Opinion-Veolia-Environnement-SA-04May2026.pdf (consulté le 2026-10-02)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F542</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Moody's, pairs : Suez, FFO / dette nette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11.4 %</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LTM 06/2025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credit_opinion-veolia-environnement-sa-04may2026.pdf, p. 11, https://www.veolia.com/sites/g/files/dvc4206/files/document/2026/05/Credit_Opinion-Veolia-Environnement-SA-04May2026.pdf (consulté le 2026-10-02)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F543</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Moody's, pairs : Suez, RCF / dette nette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10.3 %</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LTM 06/2025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credit_opinion-veolia-environnement-sa-04may2026.pdf, p. 11, https://www.veolia.com/sites/g/files/dvc4206/files/document/2026/05/Credit_Opinion-Veolia-Environnement-SA-04May2026.pdf (consulté le 2026-10-02)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F544</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Moody's, pairs : Suez, dette / EBITDA</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6.8 x</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LTM 06/2025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credit_opinion-veolia-environnement-sa-04may2026.pdf, p. 11, https://www.veolia.com/sites/g/files/dvc4206/files/document/2026/05/Credit_Opinion-Veolia-Environnement-SA-04May2026.pdf (consulté le 2026-10-02)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F545</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Moody's, pairs : Veolia, notation et perspective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Baa1 Stable</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05/2026</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credit_opinion-veolia-environnement-sa-04may2026.pdf, p. 11, https://www.veolia.com/sites/g/files/dvc4206/files/document/2026/05/Credit_Opinion-Veolia-Environnement-SA-04May2026.pdf (consulté le 2026-10-02)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F546</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Sensibilité au change : chiffre d'affaires si les devises s'apprécient de 10 %</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2,824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418,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F547</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Sensibilité au change : chiffre d'affaires si les devises se déprécient de 10 %</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-2,311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418,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F548</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Sensibilité au change : résultat opérationnel si les devises s'apprécient de 10 %</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273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418,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F549</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Sensibilité au change : résultat opérationnel si les devises se déprécient de 10 %</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-223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418,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F550</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Sensibilité au change : actif net si les devises s'apprécient de 10 %</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1,643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418,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F551</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Sensibilité au change : coût de l'endettement financier net si les devises s'apprécient de 10 %</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27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418,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F552</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Coût de l'endettement financier net : part libellée en euros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57 %</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418,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F553</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Coût de l'endettement financier net : part libellée en dollars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16 %</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418,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F554</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Dette brute après couverture : part à taux fixe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56.1 %</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416,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F555</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Dette brute après couverture : part à taux variable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43.9 %</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416,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F556</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Position nette à taux variable après couverture (passif)</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-2,992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416,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F557</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Dette libellée en dollars (avant swaps de devises)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2,455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409,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F558</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Dette libellée en euros (avant swaps de devises)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23,041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409,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F559</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Effet de change sur les obligations en dollars (conversion au cours de clôture)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-190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406,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F560</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Effet des prix des commodités (énergie, recyclats) sur l'EBITDA</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-30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finance_veolia_operating_and_financial_review_2025.pdf, p. 17, https://www.veolia.com/sites/g/files/dvc4206/files/document/2026/02/Finance_Veolia_Operating_and_financial_review_2025.pdf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F561</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Effet des prix des commodités sur l'EBITDA</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-60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S1 2026</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veolia_finance_amendment_urd_2025.pdf, p. 22, https://www.veolia.com/sites/g/files/dvc4206/files/document/2026/07/Veolia_Finance_Amendment_URD_2025.pdf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F562</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Hybrides : encours hors coupons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4.1 Md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429,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F563</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Hybride octobre 2020, tranche résiduelle : nominal</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1,150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429,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F564</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Hybride octobre 2020, tranche résiduelle : coupon jusqu'à la première date de réinitialisation (04/2029)</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2.50 %</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429,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F565</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Hybride septembre 2019 : nominal</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500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429,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F566</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Hybride septembre 2019 : coupon jusqu'à la première date de réinitialisation (09/2026)</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1.625 %</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429,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F567</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Hybride novembre 2021 : nominal</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500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429,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F568</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Hybride novembre 2021 : coupon jusqu'à la première date de réinitialisation (02/2028)</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2 %</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429,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F569</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Hybride novembre 2023 : nominal</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600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429,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F570</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Hybride novembre 2023 : coupon jusqu'à la première date de réinitialisation (02/2029)</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6 %</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429,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F571</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Hybride mai 2025 (hybride vert) : nominal</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500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429,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F572</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Hybride mai 2025 (hybride vert) : coupon jusqu'à la première date de réinitialisation (08/2030)</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4.371 %</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429,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F573</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Hybride septembre 2025 : nominal</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850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429,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F574</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Hybride septembre 2025 : coupon jusqu'à la première date de réinitialisation (01/2033)</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4.322 %</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429,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F575</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Hybride octobre 2020, première tranche remboursée en février 2026 : nominal</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850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02/2026</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429,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F576</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Impact 2023 : EBITDA 2023 visé, bas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4.7 Md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2023</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finance_annual_results_2023_presentation.pdf, p. 37, https://www.veolia.com/sites/g/files/dvc4206/files/document/2024/02/Finance_Annual_results_2023_presentation.pdf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F577</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Impact 2023 : EBITDA 2023 visé, haut</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4.9 Md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2023</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finance_annual_results_2023_presentation.pdf, p. 37, https://www.veolia.com/sites/g/files/dvc4206/files/document/2024/02/Finance_Annual_results_2023_presentation.pdf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F578</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Impact 2023 : EBITDA 2023 réalisé</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6.5 Md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FY2023</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finance_annual_results_2023_presentation.pdf, p. 37, https://www.veolia.com/sites/g/files/dvc4206/files/document/2024/02/Finance_Annual_results_2023_presentation.pdf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F579</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Impact 2023 : résultat net courant 2023 visé, environ</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 Md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2023</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finance_annual_results_2023_presentation.pdf, p. 37, https://www.veolia.com/sites/g/files/dvc4206/files/document/2024/02/Finance_Annual_results_2023_presentation.pdf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F580</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Impact 2023 : résultat net courant 2023 réalisé</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1 335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FY2023</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finance_annual_results_2023_presentation.pdf, p. 37, https://www.veolia.com/sites/g/files/dvc4206/files/document/2024/02/Finance_Annual_results_2023_presentation.pdf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F581</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Impact 2023 : levier 2023 réalisé</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2.74 x</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FY2023</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finance_annual_results_2023_presentation.pdf, p. 37, https://www.veolia.com/sites/g/files/dvc4206/files/document/2024/02/Finance_Annual_results_2023_presentation.pdf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F582</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Impact 2023 : chiffre d'affaires déchets liquides et dangereux visé, plus de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4 Md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2023</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finance_annual_results_2023_presentation.pdf, p. 35, https://www.veolia.com/sites/g/files/dvc4206/files/document/2024/02/Finance_Annual_results_2023_presentation.pdf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4</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F583</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Impact 2023 : chiffre d'affaires déchets liquides et dangereux réalisé</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4.2 Md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FY2023</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finance_annual_results_2023_presentation.pdf, p. 35, https://www.veolia.com/sites/g/files/dvc4206/files/document/2024/02/Finance_Annual_results_2023_presentation.pdf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4</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F584</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Impact 2023 : émissions évitées visées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15 Mt CO2eq</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2023</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finance_annual_results_2023_presentation.pdf, p. 35, https://www.veolia.com/sites/g/files/dvc4206/files/document/2024/02/Finance_Annual_results_2023_presentation.pdf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5</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F585</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Impact 2023 : émissions évitées réalisées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15.5 Mt CO2eq</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FY2023</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finance_annual_results_2023_presentation.pdf, p. 35, https://www.veolia.com/sites/g/files/dvc4206/files/document/2024/02/Finance_Annual_results_2023_presentation.pdf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5</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F586</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Impact 2023 : plastiques transformés visés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610 kt</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2023</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finance_annual_results_2023_presentation.pdf, p. 35, https://www.veolia.com/sites/g/files/dvc4206/files/document/2024/02/Finance_Annual_results_2023_presentation.pdf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5</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F587</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Impact 2023 : plastiques transformés réalisés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465 kt</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FY2023</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finance_annual_results_2023_presentation.pdf, p. 35, https://www.veolia.com/sites/g/files/dvc4206/files/document/2024/02/Finance_Annual_results_2023_presentation.pdf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5</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F588</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Impact 2023 : part de femmes nommées parmi les 500 cadres dirigeants, visée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50 %</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2020-2023</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finance_annual_results_2023_presentation.pdf, p. 36, https://www.veolia.com/sites/g/files/dvc4206/files/document/2024/02/Finance_Annual_results_2023_presentation.pdf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5</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F589</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Impact 2023 : part de femmes nommées parmi les 500 cadres dirigeants, réalisée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30.7 %</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2020-2023</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finance_annual_results_2023_presentation.pdf, p. 36, https://www.veolia.com/sites/g/files/dvc4206/files/document/2024/02/Finance_Annual_results_2023_presentation.pdf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5</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F590</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Guidance 2025 : croissance organique de l'EBITDA, bas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5 %</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finance_2024_full_year_results_presentation.pdf, p. 16, https://www.veolia.com/sites/g/files/dvc4206/files/document/2025/02/Finance_2024_full_year_results_presentation.pdf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F591</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Guidance 2025 : croissance organique de l'EBITDA, haut</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6 %</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finance_2024_full_year_results_presentation.pdf, p. 16, https://www.veolia.com/sites/g/files/dvc4206/files/document/2025/02/Finance_2024_full_year_results_presentation.pdf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F592</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Guidance 2025 : gains d'efficacité, plus de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350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finance_2024_full_year_results_presentation.pdf, p. 16, https://www.veolia.com/sites/g/files/dvc4206/files/document/2025/02/Finance_2024_full_year_results_presentation.pdf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F593</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Guidance 2025 : synergies cumulées 2022-2025 visées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530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finance_2024_full_year_results_presentation.pdf, p. 16, https://www.veolia.com/sites/g/files/dvc4206/files/document/2025/02/Finance_2024_full_year_results_presentation.pdf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F594</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Guidance 2025 : synergies attendues dans l'année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95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finance_2024_full_year_results_presentation.pdf, p. 16, https://www.veolia.com/sites/g/files/dvc4206/files/document/2025/02/Finance_2024_full_year_results_presentation.pdf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F595</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Guidance 2025 : croissance du résultat net courant, environ</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9 %</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finance_2024_full_year_results_presentation.pdf, p. 16, https://www.veolia.com/sites/g/files/dvc4206/files/document/2025/02/Finance_2024_full_year_results_presentation.pdf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F596</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Résultat net courant 2025 : croissance réalisée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+9.1 %</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finance_veolia_2025_full_year_results_presentation_0.pdf, p. 21, https://www.veolia.com/sites/g/files/dvc4206/files/document/2026/03/Finance_Veolia_2025_full_year_results_presentation_0.pdf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F597</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Cours de clôture de l'action Veolia</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29.38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487,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6</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F598</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Nombre d'actions composant le capital</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741,723,437 actions</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486,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6</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F599</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Capital social</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3,708,617,185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486,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6</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F600</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Actions autodétenues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10,438,730 actions</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finance_veolia_urd_2025_en.pdf, p. 487, https://www.veolia.com/sites/g/files/dvc4206/files/document/2026/03/Finance_Veolia_URD_2025_en.pdf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6</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F601</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EnviroServe (Clean Harbors) : prix d'acquisition</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470 M USD</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08/2026</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clean-harbors-enviroserve-2026-08-12.html, p. 1, https://www.stocktitan.net/news/CLH/clean-harbors-to-acquire-enviro-serve-for-470-oh17y1jlmzc0.html (consulté le 2026-10-06)</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6</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F602</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EnviroServe (Clean Harbors) : EBITDA ajusté annuel attendu, environ</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27 M USD</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2026e</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clean-harbors-enviroserve-2026-08-12.html, p. 1, https://www.stocktitan.net/news/CLH/clean-harbors-to-acquire-enviro-serve-for-470-oh17y1jlmzc0.html (consulté le 2026-10-06)</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6</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F603</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EnviroServe (Clean Harbors) : chiffre d'affaires annuel attendu, environ</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250 M USD</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2026e</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clean-harbors-enviroserve-2026-08-12.html, p. 1, https://www.stocktitan.net/news/CLH/clean-harbors-to-acquire-enviro-serve-for-470-oh17y1jlmzc0.html (consulté le 2026-10-06)</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6</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F604</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EnviroServe (Clean Harbors) : synergies de coûts attendues, environ</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25 M USD</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années 1-2</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clean-harbors-enviroserve-2026-08-12.html, p. 1, https://www.stocktitan.net/news/CLH/clean-harbors-to-acquire-enviro-serve-for-470-oh17y1jlmzc0.html (consulté le 2026-10-06)</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6</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F605</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EnviroServe et ES&amp;H (Clean Harbors) : prix combiné</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775 M USD</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10/2026</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clean-harbors-enviroserve-esh-2026-10-05.html, p. 1, https://www.stocktitan.net/news/CLH/clean-harbors-completes-acquisitions-of-enviro-serve-and-es-exg89lv5k702.html (consulté le 2026-10-06)</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6</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F606</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EnviroServe et ES&amp;H (Clean Harbors) : EBITDA ajusté annuel combiné après synergies, environ</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87 M USD</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2026e</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clean-harbors-enviroserve-esh-2026-10-05.html, p. 1, https://www.stocktitan.net/news/CLH/clean-harbors-completes-acquisitions-of-enviro-serve-and-es-exg89lv5k702.html (consulté le 2026-10-06)</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6</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F607</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EnviroServe et ES&amp;H (Clean Harbors) : multiple combiné après synergies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8.9 x</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10/2026</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clean-harbors-enviroserve-esh-2026-10-05.html, p. 1, https://www.stocktitan.net/news/CLH/clean-harbors-completes-acquisitions-of-enviro-serve-and-es-exg89lv5k702.html (consulté le 2026-10-06)</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6</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F608</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ES&amp;H (Clean Harbors) : prix d'acquisition</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305 M USD</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07/2026</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clean-harbors-q2-2026-2026-07-29.html, p. 1, https://www.stocktitan.net/news/CLH/clean-harbors-announces-second-quarter-2026-financial-i7hymqt5jls0.html (consulté le 2026-10-06)</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6</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F609</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Heritage-Crystal Clean (J.F. Lehman) : valorisation de la transaction, environ</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1.2 Md USD</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07/2023</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crystal-clean-jfl-2023-07-19.html, p. 1, https://www.crystal-clean.com/heritage-crystal-clean-inc-to-be-acquired-by-j-f-lehman-company-for-1-2-billion/ (consulté le 2026-10-06)</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6</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F610</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Heritage-Crystal Clean (J.F. Lehman) : prix par action</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45.50 USD</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07/2023</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crystal-clean-jfl-2023-07-19.html, p. 1, https://www.crystal-clean.com/heritage-crystal-clean-inc-to-be-acquired-by-j-f-lehman-company-for-1-2-billion/ (consulté le 2026-10-06)</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6</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F611</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Fortum Recycling and Waste (NG Group, Summa Equity) : prix, dette et trésorerie exclues, environ</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800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07/2024</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fortum-summa-ng-group-2024-07-18.html, p. 1, https://news.cision.com/summa-equity/r/summa-equity-through-ng-group-acquires-fortum-recycling-and-waste,c4035069 (consulté le 2026-10-06)</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6</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F612</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Triumvirate Environmental (Berkshire Partners) : valorisation après investissement</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1.8 Md USD</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02/2025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triumvirate-berkshire-2025-02-04.html, p. 1, https://ca.finance.yahoo.com/news/triumvirate-environmental-valued-1-8-132050079.html (consulté le 2026-10-06)</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6</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F613</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GFL Environmental Services (Apollo, BC Partners) : valeur d'entreprise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8.0 Md CAD</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01/2025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gfl-es-latham-2025-01-07.html, p. 1, https://www.lw.com/en/news/2025/01/latham-watkins-advises-gfl-environmental-inc-on-sale-of-environmental-services-business (consulté le 2026-10-06)</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6</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F614</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GFL Environmental Services : participation conservée par GFL</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1.7 Md CAD</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01/2025</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gfl-es-latham-2025-01-07.html, p. 1, https://www.lw.com/en/news/2025/01/latham-watkins-advises-gfl-environmental-inc-on-sale-of-environmental-services-business (consulté le 2026-10-06)</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6</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F615</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Taux de référence BCE : dollars canadiens pour un euro</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1.6058 CAD pour 1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06/10/2026</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bce-taux-eur-cad-2026-10-06.html, p. 1, https://www.ecb.europa.eu/stats/policy_and_exchange_rates/euro_reference_exchange_rates/html/eurofxref-graph-cad.en.html (consulté le 2026-10-06)</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6</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F616</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Seaside Equity Partners : EBITDA visé pour une plateforme (fonds Flagship), bas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3 M USD</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critères 2026</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seaside-criteres-2026-10-07.html, p. 1, https://www.seasideequity.com/investment-criteria (consulté le 2026-10-07)</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6</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F617</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Seaside Equity Partners : EBITDA visé pour une plateforme (fonds Flagship), haut</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15 M USD</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critères 2026</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seaside-criteres-2026-10-07.html, p. 1, https://www.seasideequity.com/investment-criteria (consulté le 2026-10-07)</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6</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F618</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EMI (Enviracore) : salariés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52 salariés</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2019</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emi-entretien-2019-01-31.html, p. 1, http://podcast.madepossibleby.us/blog/2019/1/31/environmental-management-services-from-a-garage-startup-to-guthries-business-of-the-year (consulté le 2026-10-07)</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6</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F619</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EnviroServe (Clean Harbors) : salariés, plus de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700 salariés</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08/2026</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clean-harbors-enviroserve-2026-08-12.html, p. 1, https://www.stocktitan.net/news/CLH/clean-harbors-to-acquire-enviro-serve-for-470-oh17y1jlmzc0.html (consulté le 2026-10-06)</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6</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F620</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EnviroServe (Clean Harbors) : implantations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40 sites</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08/2026</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clean-harbors-enviroserve-2026-08-12.html, p. 1, https://www.stocktitan.net/news/CLH/clean-harbors-to-acquire-enviro-serve-for-470-oh17y1jlmzc0.html (consulté le 2026-10-06)</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6</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F621</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Objectif GreenUp : EBITDA ≥</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8 Md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2027E</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deep_dive_veolia_in_the_us_presentation-eng.pdf, p. 10, https://www.veolia.com/sites/g/files/dvc4206/files/document/2024/04/Deep_Dive_VEOLIA_in_the_US_Presentation-ENG.pdf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F622</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Plafond GreenUp : dette financière nette / EBITDA ≤</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3 x</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2027E</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deep_dive_veolia_in_the_us_presentation-eng.pdf, p. 10, https://www.veolia.com/sites/g/files/dvc4206/files/document/2024/04/Deep_Dive_VEOLIA_in_the_US_Presentation-ENG.pdf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F623</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États-Unis : part de l'EBITDA du groupe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12 %</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FY2023</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deep_dive_veolia_in_the_us_presentation-eng.pdf, p. 12, https://www.veolia.com/sites/g/files/dvc4206/files/document/2024/04/Deep_Dive_VEOLIA_in_the_US_Presentation-ENG.pdf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4</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F624</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GreenUp : croissance annuelle moyenne du résultat net courant 2023-2027, environ</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10 % / an</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2023-2027</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deep_dive_veolia_in_the_us_presentation-eng.pdf, p. 10, https://www.veolia.com/sites/g/files/dvc4206/files/document/2024/04/Deep_Dive_VEOLIA_in_the_US_Presentation-ENG.pdf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F625</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EBITDA États-Unis (Veolia), plus de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0.8 Md USD</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FY2023</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deep_dive_veolia_in_the_us_presentation-eng.pdf, p. 12, https://www.veolia.com/sites/g/files/dvc4206/files/document/2024/04/Deep_Dive_VEOLIA_in_the_US_Presentation-ENG.pdf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4</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F626</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Chiffre d'affaires États-Unis (Veolia)</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5.4 Md USD</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FY2023</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deep_dive_veolia_in_the_us_presentation-eng.pdf, p. 12, https://www.veolia.com/sites/g/files/dvc4206/files/document/2024/04/Deep_Dive_VEOLIA_in_the_US_Presentation-ENG.pdf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4</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F627</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Objectif GreenUp initial : déchets dangereux et polluants traités en 2027</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10 Mt</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2027E</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deep_dive_veolia_in_the_us_presentation-eng.pdf, p. 10, https://www.veolia.com/sites/g/files/dvc4206/files/document/2024/04/Deep_Dive_VEOLIA_in_the_US_Presentation-ENG.pdf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4</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F628</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Incinération commerciale : carnet de commandes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60 kt</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2023</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deep_dive_veolia_in_the_us_presentation-eng.pdf, p. 45, https://www.veolia.com/sites/g/files/dvc4206/files/document/2024/04/Deep_Dive_VEOLIA_in_the_US_Presentation-ENG.pdf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4</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F629</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Marché américain accessible des déchets dangereux : croissance annuelle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5 % / an</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2027E</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deep_dive_veolia_in_the_us_presentation-eng.pdf, p. 45, https://www.veolia.com/sites/g/files/dvc4206/files/document/2024/04/Deep_Dive_VEOLIA_in_the_US_Presentation-ENG.pdf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4</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F630</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Veolia États-Unis, déchets dangereux : croissance annuelle moyenne du chiffre d'affaires 2019-2023</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+9 % / an</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2019-2023</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deep_dive_veolia_in_the_us_presentation-eng.pdf, p. 44, https://www.veolia.com/sites/g/files/dvc4206/files/document/2024/04/Deep_Dive_VEOLIA_in_the_US_Presentation-ENG.pdf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4</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F631</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GreenUp : croissance annuelle moyenne du résultat net courant 2023-2027, environ</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10 %</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2024-2027</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en_master_greenup_strategy-day_v270324.pdf, p. 9, https://www.veolia.com/sites/g/files/dvc4206/files/document/2024/03/EN_Master_GreenUp_Strategy%20day_V270324.pdf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F632</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Marché américain accessible des déchets dangereux</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11 Md USD</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2027E</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deep_dive_veolia_in_the_us_presentation-eng.pdf, p. 45, https://www.veolia.com/sites/g/files/dvc4206/files/document/2024/04/Deep_Dive_VEOLIA_in_the_US_Presentation-ENG.pdf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4</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F633</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Boosters : part du chiffre d'affaires 2023</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30 %</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FY2023</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en_master_greenup_strategy-day_v270324.pdf, p. 44, https://www.veolia.com/sites/g/files/dvc4206/files/document/2024/03/EN_Master_GreenUp_Strategy%20day_V270324.pdf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4</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F634</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Boosters : Water Technologies, chiffre d'affaires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4.9 Md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FY2023</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en_master_greenup_strategy-day_v270324.pdf, p. 56, https://www.veolia.com/sites/g/files/dvc4206/files/document/2024/03/EN_Master_GreenUp_Strategy%20day_V270324.pdf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4</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F635</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Bioénergie, flexibilité, efficacité énergétique : chiffre d'affaires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4.9 Md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FY2023</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en_master_greenup_strategy-day_v270324.pdf, p. 56, https://www.veolia.com/sites/g/files/dvc4206/files/document/2024/03/EN_Master_GreenUp_Strategy%20day_V270324.pdf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4</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F636</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Déchets dangereux Veolia : chiffre d'affaires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4.2 Md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FY2023</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en_master_greenup_strategy-day_v270324.pdf, p. 56, https://www.veolia.com/sites/g/files/dvc4206/files/document/2024/03/EN_Master_GreenUp_Strategy%20day_V270324.pdf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4</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F637</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Ratio de levier publié</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2.63 x</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31/12/2024</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finance_2024_full_year_results_presentation.pdf, p. 5, https://www.veolia.com/sites/g/files/dvc4206/files/document/2025/02/Finance_2024_full_year_results_presentation.pdf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F638</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Impact 2023 : chiffre d'affaires déchets liquides et dangereux visé, plus de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4 Md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FY2023</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en_master_greenup_strategy-day_v270324.pdf, p. 76, https://www.veolia.com/sites/g/files/dvc4206/files/document/2024/03/EN_Master_GreenUp_Strategy%20day_V270324.pdf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4</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F639</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Dividende proposé au titre de 2024</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1.40 EUR par action</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FY2024</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finance_2024_full_year_results_presentation.pdf, p. 6, https://www.veolia.com/sites/g/files/dvc4206/files/document/2025/02/Finance_2024_full_year_results_presentation.pdf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F640</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Maturité moyenne de la dette financière nette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7.4 années</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31/12/2023</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en_master_greenup_strategy-day_v270324.pdf, p. 67, https://www.veolia.com/sites/g/files/dvc4206/files/document/2024/03/EN_Master_GreenUp_Strategy%20day_V270324.pdf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F641</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Gains d'efficacité annuels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398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FY2024</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finance_2024_full_year_results_presentation.pdf, p. 5, https://www.veolia.com/sites/g/files/dvc4206/files/document/2025/02/Finance_2024_full_year_results_presentation.pdf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F642</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Part de la dette financière nette à taux fixe après couverture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87 %</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31/12/2023</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en_master_greenup_strategy-day_v270324.pdf, p. 67, https://www.veolia.com/sites/g/files/dvc4206/files/document/2024/03/EN_Master_GreenUp_Strategy%20day_V270324.pdf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F643</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Objectif GreenUp initial : déchets dangereux et polluants traités en 2027</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10 Mt</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 2027</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en_master_greenup_strategy-day_v270324.pdf, p. 70, https://www.veolia.com/sites/g/files/dvc4206/files/document/2024/03/EN_Master_GreenUp_Strategy%20day_V270324.pdf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4</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F644</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Objectif GreenUp : EBITDA ≥</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8 Md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 2027</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en_master_greenup_strategy-day_v270324.pdf, p. 70, https://www.veolia.com/sites/g/files/dvc4206/files/document/2024/03/EN_Master_GreenUp_Strategy%20day_V270324.pdf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F645</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Chiffre d'affaires PFAS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205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FY2024</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finance_2024_full_year_results_presentation.pdf, p. 8, https://www.veolia.com/sites/g/files/dvc4206/files/document/2025/02/Finance_2024_full_year_results_presentation.pdf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4</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F646</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Déchets dangereux Europe : croissance du chiffre d'affaires à périmètre et change constants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+9.5 %</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FY2024</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finance_2024_full_year_results_presentation.pdf, p. 10, https://www.veolia.com/sites/g/files/dvc4206/files/document/2025/02/Finance_2024_full_year_results_presentation.pdf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4</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F647</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Déchets dangereux Veolia : chiffre d'affaires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4,276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FY2024</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finance_2024_full_year_results_presentation.pdf, p. 10, https://www.veolia.com/sites/g/files/dvc4206/files/document/2025/02/Finance_2024_full_year_results_presentation.pdf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4</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F648</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Boosters : croissance organique du chiffre d'affaires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+6.6 %</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FY2024</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finance_2024_full_year_results_presentation.pdf, p. 9, https://www.veolia.com/sites/g/files/dvc4206/files/document/2025/02/Finance_2024_full_year_results_presentation.pdf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4</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F649</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Boosters : chiffre d'affaires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12,506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FY2024</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finance_2024_full_year_results_presentation.pdf, p. 9, https://www.veolia.com/sites/g/files/dvc4206/files/document/2025/02/Finance_2024_full_year_results_presentation.pdf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4</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F650</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Plafond de levier 2025 (ratio publié)</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3 x</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2025E</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finance_2024_full_year_results_presentation.pdf, p. 16, https://www.veolia.com/sites/g/files/dvc4206/files/document/2025/02/Finance_2024_full_year_results_presentation.pdf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F651</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Investissements de croissance (growth capex)</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663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FY2024</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finance_2024_full_year_results_presentation.pdf, p. 15, https://www.veolia.com/sites/g/files/dvc4206/files/document/2025/02/Finance_2024_full_year_results_presentation.pdf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F652</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GreenUp : gains d'efficacité par an</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350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FY2024</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finance_2024_full_year_results_presentation.pdf, p. 13, https://www.veolia.com/sites/g/files/dvc4206/files/document/2025/02/Finance_2024_full_year_results_presentation.pdf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F653</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Déchets dangereux Veolia : croissance du chiffre d'affaires à périmètre et change constants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+7.1 %</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FY2024</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finance_2024_full_year_results_presentation.pdf, p. 10, https://www.veolia.com/sites/g/files/dvc4206/files/document/2025/02/Finance_2024_full_year_results_presentation.pdf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4</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F654</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Cession Lydec : effet sur le chiffre d'affaires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-181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FY2024</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finance_2024_full_year_results_presentation.pdf, p. 24, https://www.veolia.com/sites/g/files/dvc4206/files/document/2025/02/Finance_2024_full_year_results_presentation.pdf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1</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F655</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Coût de l'endettement financier net (groupe)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-652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FY2024</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finance_2024_full_year_results_presentation.pdf, p. 27, https://www.veolia.com/sites/g/files/dvc4206/files/document/2025/02/Finance_2024_full_year_results_presentation.pdf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F656</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Coût moyen total du financement</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3.76 %</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FY2024</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finance_2024_full_year_results_presentation.pdf, p. 27, https://www.veolia.com/sites/g/files/dvc4206/files/document/2025/02/Finance_2024_full_year_results_presentation.pdf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F657</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Déchets dangereux Europe : croissance du chiffre d'affaires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+9.5 %</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FY2024</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finance_2024_full_year_results_presentation.pdf, p. 22, https://www.veolia.com/sites/g/files/dvc4206/files/document/2025/02/Finance_2024_full_year_results_presentation.pdf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4</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F658</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Variation du BFR opérationnel</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+75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FY2024</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finance_2024_full_year_results_presentation.pdf, p. 29, https://www.veolia.com/sites/g/files/dvc4206/files/document/2025/02/Finance_2024_full_year_results_presentation.pdf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F659</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Acquisition en Allemagne : effet sur le chiffre d'affaires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+178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FY2024</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finance_2024_full_year_results_presentation.pdf, p. 24, https://www.veolia.com/sites/g/files/dvc4206/files/document/2025/02/Finance_2024_full_year_results_presentation.pdf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1</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F660</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Capex de croissance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663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FY2024</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finance_2024_full_year_results_presentation.pdf, p. 29, https://www.veolia.com/sites/g/files/dvc4206/files/document/2025/02/Finance_2024_full_year_results_presentation.pdf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F661</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Cession Sade : effet sur le chiffre d'affaires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-912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FY2024</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finance_2024_full_year_results_presentation.pdf, p. 24, https://www.veolia.com/sites/g/files/dvc4206/files/document/2025/02/Finance_2024_full_year_results_presentation.pdf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1</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F662</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Cession RGS : effet sur le chiffre d'affaires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-135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FY2024</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finance_2024_full_year_results_presentation.pdf, p. 24, https://www.veolia.com/sites/g/files/dvc4206/files/document/2025/02/Finance_2024_full_year_results_presentation.pdf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1</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F663</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Cessions industrielles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204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FY2024</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finance_2024_full_year_results_presentation.pdf, p. 29, https://www.veolia.com/sites/g/files/dvc4206/files/document/2025/02/Finance_2024_full_year_results_presentation.pdf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F664</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EBITDA (groupe)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6,543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FY2023</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finance_2024_full_year_results_presentation.pdf, p. 20, https://www.veolia.com/sites/g/files/dvc4206/files/document/2025/02/Finance_2024_full_year_results_presentation.pdf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F665</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Déchets dangereux : croissance du chiffre d'affaires</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+7.1 %</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FY2024</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finance_2024_full_year_results_presentation.pdf, p. 22, https://www.veolia.com/sites/g/files/dvc4206/files/document/2025/02/Finance_2024_full_year_results_presentation.pdf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4</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F666</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Résultat net courant par action, part du groupe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2.13 EUR par action</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FY2024</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finance_2024_full_year_results_presentation.pdf, p. 27, https://www.veolia.com/sites/g/files/dvc4206/files/document/2025/02/Finance_2024_full_year_results_presentation.pdf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F667</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Capex déchets dangereux</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185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FY2024</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finance_2024_full_year_results_presentation.pdf, p. 29, https://www.veolia.com/sites/g/files/dvc4206/files/document/2025/02/Finance_2024_full_year_results_presentation.pdf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F668</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Émission obligataire de septembre 2024, tranche 10 ans : nominal</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500 M EUR</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FY2024</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finance_2024_full_year_results_presentation.pdf, p. 31, https://www.veolia.com/sites/g/files/dvc4206/files/document/2025/02/Finance_2024_full_year_results_presentation.pdf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F669</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Émission obligataire de septembre 2024, tranche 10 ans : taux</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3.571 %</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FY2024</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finance_2024_full_year_results_presentation.pdf, p. 31, https://www.veolia.com/sites/g/files/dvc4206/files/document/2025/02/Finance_2024_full_year_results_presentation.pdf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r>
        <w:tc>
          <w:tcPr>
            <w:tcW w:type="dxa" w:w="6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F670</w:t>
            </w:r>
          </w:p>
        </w:tc>
        <w:tc>
          <w:tcPr>
            <w:tcW w:type="dxa" w:w="2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Part de la dette financière nette à taux fixe après couverture</w:t>
            </w:r>
          </w:p>
        </w:tc>
        <w:tc>
          <w:tcPr>
            <w:tcW w:type="dxa" w:w="10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97 %</w:t>
            </w:r>
          </w:p>
        </w:tc>
        <w:tc>
          <w:tcPr>
            <w:tcW w:type="dxa" w:w="9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31/12/2024</w:t>
            </w:r>
          </w:p>
        </w:tc>
        <w:tc>
          <w:tcPr>
            <w:tcW w:type="dxa" w:w="33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finance_2024_full_year_results_presentation.pdf, p. 31, https://www.veolia.com/sites/g/files/dvc4206/files/document/2025/02/Finance_2024_full_year_results_presentation.pdf (consulté le 2026-09-22)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2</w:t>
            </w:r>
          </w:p>
        </w:tc>
        <w:tc>
          <w:tcPr>
            <w:tcW w:type="dxa" w:w="4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r>
    </w:tbl>
    <w:p>
      <w:r>
        <w:br w:type="page"/>
      </w:r>
    </w:p>
    <w:p>
      <w:pPr>
        <w:pStyle w:val="Heading1"/>
        <w:spacing w:after="120" w:before="240"/>
      </w:pPr>
      <w:r>
        <w:rPr>
          <w:rFonts w:ascii="Arial" w:cs="Arial" w:eastAsia="Arial" w:hAnsi="Arial"/>
        </w:rPr>
        <w:t xml:space="preserve">Annexe B — Outils d'intelligence artificielle utilisés</w:t>
      </w:r>
    </w:p>
    <w:p>
      <w:pPr>
        <w:pStyle w:val="ListParagraph"/>
        <w:numPr>
          <w:ilvl w:val="0"/>
          <w:numId w:val="5"/>
        </w:numPr>
        <w:spacing w:after="80"/>
      </w:pPr>
      <w:r>
        <w:rPr>
          <w:rFonts w:ascii="Arial" w:cs="Arial" w:eastAsia="Arial" w:hAnsi="Arial"/>
          <w:sz w:val="22"/>
          <w:szCs w:val="22"/>
        </w:rPr>
        <w:t xml:space="preserve">Dataroom : un serveur MCP (Model Context Protocol) privé au groupe, qui indexe les documents publics versés dans le vault et ne sait que chercher, lire une page et citer (fichier, page, URL, date de consultation). Il ne calcule rien ; il garde pour chaque ligne du registre qui l'a saisie et qui l'a relue. Les résumés de pages que l'API Claude a écrits pour la recherche sont signalés comme tels dans chaque résultat et ne sont jamais cités.</w:t>
      </w:r>
    </w:p>
    <w:p>
      <w:pPr>
        <w:pStyle w:val="ListParagraph"/>
        <w:numPr>
          <w:ilvl w:val="0"/>
          <w:numId w:val="5"/>
        </w:numPr>
        <w:spacing w:after="80"/>
      </w:pPr>
      <w:r>
        <w:rPr>
          <w:rFonts w:ascii="Arial" w:cs="Arial" w:eastAsia="Arial" w:hAnsi="Arial"/>
          <w:sz w:val="22"/>
          <w:szCs w:val="22"/>
        </w:rPr>
        <w:t xml:space="preserve">Le registre compte 670 chiffres et 60 opérations. 680 lignes y ont été saisies par Claude (Anthropic) à travers le compte partagé du serveur, en recopiant le nombre imprimé sur une page indexée dont le fichier et le numéro sont cités ; 50 lignes par l'API Claude (lecture de chaque page du vault, sous l'identité claude-api, avec un contrôle automatique que le nombre et sa citation sont sur la page) ; 0 ligne par les membres du groupe avec leur compte personnel. 0 ligne sur 730 ont été relues sur la page citée par un membre autre que leur auteur ; 730 ne l'ont pas encore été. Le rapport signale d'un « † » chaque chiffre cité qui n'a pas de second lecteur.</w:t>
      </w:r>
    </w:p>
    <w:p>
      <w:pPr>
        <w:pStyle w:val="ListParagraph"/>
        <w:numPr>
          <w:ilvl w:val="0"/>
          <w:numId w:val="5"/>
        </w:numPr>
        <w:spacing w:after="80"/>
      </w:pPr>
      <w:r>
        <w:rPr>
          <w:rFonts w:ascii="Arial" w:cs="Arial" w:eastAsia="Arial" w:hAnsi="Arial"/>
          <w:sz w:val="22"/>
          <w:szCs w:val="22"/>
        </w:rPr>
        <w:t xml:space="preserve">Claude, via Claude Code, a aussi construit le serveur, les contrôles automatiques (`audit_dataroom`), le générateur du classeur Excel (`build_model.py`), celui des dossiers et celui de ce rapport. Le classeur ne contient que des formules ; ses entrées sont les lignes du registre.</w:t>
      </w:r>
    </w:p>
    <w:p>
      <w:pPr>
        <w:pStyle w:val="ListParagraph"/>
        <w:numPr>
          <w:ilvl w:val="0"/>
          <w:numId w:val="5"/>
        </w:numPr>
        <w:spacing w:after="80"/>
      </w:pPr>
      <w:r>
        <w:rPr>
          <w:rFonts w:ascii="Arial" w:cs="Arial" w:eastAsia="Arial" w:hAnsi="Arial"/>
          <w:sz w:val="22"/>
          <w:szCs w:val="22"/>
        </w:rPr>
        <w:t xml:space="preserve">LibreOffice (recalcul sans interface) : recalcule le classeur après chaque génération et signale toute erreur de formule ; aucune valeur calculée n'est saisie à la main.</w:t>
      </w:r>
    </w:p>
    <w:p>
      <w:pPr>
        <w:pStyle w:val="ListParagraph"/>
        <w:numPr>
          <w:ilvl w:val="0"/>
          <w:numId w:val="5"/>
        </w:numPr>
        <w:spacing w:after="80"/>
      </w:pPr>
      <w:r>
        <w:rPr>
          <w:rFonts w:ascii="Arial" w:cs="Arial" w:eastAsia="Arial" w:hAnsi="Arial"/>
          <w:sz w:val="22"/>
          <w:szCs w:val="22"/>
        </w:rPr>
        <w:t xml:space="preserve">Règle tenue : aucun nombre n'a été inventé ni calculé par un modèle de langage. Chaque nombre du registre est recopié d'une page publique citée ; chaque nombre du classeur est une formule sur ces lignes.</w:t>
      </w:r>
    </w:p>
    <w:p>
      <w:pPr>
        <w:shd w:fill="FFF2A8" w:color="auto" w:val="clear"/>
        <w:spacing w:after="160" w:before="160"/>
      </w:pPr>
      <w:r>
        <w:rPr>
          <w:rFonts w:ascii="Arial" w:cs="Arial" w:eastAsia="Arial" w:hAnsi="Arial"/>
          <w:i/>
          <w:iCs/>
          <w:sz w:val="22"/>
          <w:szCs w:val="22"/>
        </w:rPr>
        <w:t xml:space="preserve">[À rédiger] 08_Livrables/texte/outils-ia.md : ce que le groupe a décidé sans l'outil, les cas où l'outil a été contredit après lecture, puis un tableau membre / outil / usage / période.</w:t>
      </w:r>
    </w:p>
    <w:p>
      <w:r>
        <w:br w:type="page"/>
      </w:r>
    </w:p>
    <w:p>
      <w:pPr>
        <w:pStyle w:val="Heading1"/>
        <w:spacing w:after="120" w:before="240"/>
      </w:pPr>
      <w:r>
        <w:rPr>
          <w:rFonts w:ascii="Arial" w:cs="Arial" w:eastAsia="Arial" w:hAnsi="Arial"/>
        </w:rPr>
        <w:t xml:space="preserve">Contrôle des citations (retiré de la version finale)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26"/>
        <w:gridCol w:w="1500"/>
        <w:gridCol w:w="1500"/>
        <w:gridCol w:w="1500"/>
        <w:gridCol w:w="1500"/>
      </w:tblGrid>
      <w:tr>
        <w:trPr>
          <w:tblHeader/>
        </w:trPr>
        <w:tc>
          <w:tcPr>
            <w:tcW w:type="dxa" w:w="3026"/>
            <w:shd w:fill="E7E6E6" w:color="auto" w:val="clear"/>
            <w:tcMar>
              <w:top w:type="dxa" w:w="40"/>
              <w:left w:type="dxa" w:w="80"/>
              <w:bottom w:type="dxa" w:w="40"/>
              <w:right w:type="dxa" w:w="80"/>
            </w:tcMar>
          </w:tcPr>
          <w:p>
            <w:pPr>
              <w:spacing w:after="0"/>
              <w:jc w:val="left"/>
            </w:pPr>
            <w:r>
              <w:rPr>
                <w:rFonts w:ascii="Arial" w:cs="Arial" w:eastAsia="Arial" w:hAnsi="Arial"/>
                <w:b/>
                <w:bCs/>
                <w:sz w:val="18"/>
                <w:szCs w:val="18"/>
              </w:rPr>
              <w:t xml:space="preserve">Section</w:t>
            </w:r>
          </w:p>
        </w:tc>
        <w:tc>
          <w:tcPr>
            <w:tcW w:type="dxa" w:w="1500"/>
            <w:shd w:fill="E7E6E6" w:color="auto" w:val="clear"/>
            <w:tcMar>
              <w:top w:type="dxa" w:w="40"/>
              <w:left w:type="dxa" w:w="80"/>
              <w:bottom w:type="dxa" w:w="40"/>
              <w:right w:type="dxa" w:w="80"/>
            </w:tcMar>
          </w:tcPr>
          <w:p>
            <w:pPr>
              <w:spacing w:after="0"/>
              <w:jc w:val="left"/>
            </w:pPr>
            <w:r>
              <w:rPr>
                <w:rFonts w:ascii="Arial" w:cs="Arial" w:eastAsia="Arial" w:hAnsi="Arial"/>
                <w:b/>
                <w:bCs/>
                <w:sz w:val="18"/>
                <w:szCs w:val="18"/>
              </w:rPr>
              <w:t xml:space="preserve">Pages (PDF)</w:t>
            </w:r>
          </w:p>
        </w:tc>
        <w:tc>
          <w:tcPr>
            <w:tcW w:type="dxa" w:w="1500"/>
            <w:shd w:fill="E7E6E6" w:color="auto" w:val="clear"/>
            <w:tcMar>
              <w:top w:type="dxa" w:w="40"/>
              <w:left w:type="dxa" w:w="80"/>
              <w:bottom w:type="dxa" w:w="40"/>
              <w:right w:type="dxa" w:w="80"/>
            </w:tcMar>
          </w:tcPr>
          <w:p>
            <w:pPr>
              <w:spacing w:after="0"/>
              <w:jc w:val="left"/>
            </w:pPr>
            <w:r>
              <w:rPr>
                <w:rFonts w:ascii="Arial" w:cs="Arial" w:eastAsia="Arial" w:hAnsi="Arial"/>
                <w:b/>
                <w:bCs/>
                <w:sz w:val="18"/>
                <w:szCs w:val="18"/>
              </w:rPr>
              <w:t xml:space="preserve">Mots</w:t>
            </w:r>
          </w:p>
        </w:tc>
        <w:tc>
          <w:tcPr>
            <w:tcW w:type="dxa" w:w="1500"/>
            <w:shd w:fill="E7E6E6" w:color="auto" w:val="clear"/>
            <w:tcMar>
              <w:top w:type="dxa" w:w="40"/>
              <w:left w:type="dxa" w:w="80"/>
              <w:bottom w:type="dxa" w:w="40"/>
              <w:right w:type="dxa" w:w="80"/>
            </w:tcMar>
          </w:tcPr>
          <w:p>
            <w:pPr>
              <w:spacing w:after="0"/>
              <w:jc w:val="left"/>
            </w:pPr>
            <w:r>
              <w:rPr>
                <w:rFonts w:ascii="Arial" w:cs="Arial" w:eastAsia="Arial" w:hAnsi="Arial"/>
                <w:b/>
                <w:bCs/>
                <w:sz w:val="18"/>
                <w:szCs w:val="18"/>
              </w:rPr>
              <w:t xml:space="preserve">Cible</w:t>
            </w:r>
          </w:p>
        </w:tc>
        <w:tc>
          <w:tcPr>
            <w:tcW w:type="dxa" w:w="1500"/>
            <w:shd w:fill="E7E6E6" w:color="auto" w:val="clear"/>
            <w:tcMar>
              <w:top w:type="dxa" w:w="40"/>
              <w:left w:type="dxa" w:w="80"/>
              <w:bottom w:type="dxa" w:w="40"/>
              <w:right w:type="dxa" w:w="80"/>
            </w:tcMar>
          </w:tcPr>
          <w:p>
            <w:pPr>
              <w:spacing w:after="0"/>
              <w:jc w:val="left"/>
            </w:pPr>
            <w:r>
              <w:rPr>
                <w:rFonts w:ascii="Arial" w:cs="Arial" w:eastAsia="Arial" w:hAnsi="Arial"/>
                <w:b/>
                <w:bCs/>
                <w:sz w:val="18"/>
                <w:szCs w:val="18"/>
              </w:rPr>
              <w:t xml:space="preserve">À rédiger</w:t>
            </w:r>
          </w:p>
        </w:tc>
      </w:tr>
      <w:tr>
        <w:tc>
          <w:tcPr>
            <w:tcW w:type="dxa" w:w="30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role-1.md</w:t>
            </w:r>
          </w:p>
        </w:tc>
        <w:tc>
          <w:tcPr>
            <w:tcW w:type="dxa" w:w="15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w:t>
            </w:r>
          </w:p>
        </w:tc>
        <w:tc>
          <w:tcPr>
            <w:tcW w:type="dxa" w:w="15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36</w:t>
            </w:r>
          </w:p>
        </w:tc>
        <w:tc>
          <w:tcPr>
            <w:tcW w:type="dxa" w:w="15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6-9</w:t>
            </w:r>
          </w:p>
        </w:tc>
        <w:tc>
          <w:tcPr>
            <w:tcW w:type="dxa" w:w="15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4</w:t>
            </w:r>
          </w:p>
        </w:tc>
      </w:tr>
      <w:tr>
        <w:tc>
          <w:tcPr>
            <w:tcW w:type="dxa" w:w="30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role-2.md</w:t>
            </w:r>
          </w:p>
        </w:tc>
        <w:tc>
          <w:tcPr>
            <w:tcW w:type="dxa" w:w="15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w:t>
            </w:r>
          </w:p>
        </w:tc>
        <w:tc>
          <w:tcPr>
            <w:tcW w:type="dxa" w:w="15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45</w:t>
            </w:r>
          </w:p>
        </w:tc>
        <w:tc>
          <w:tcPr>
            <w:tcW w:type="dxa" w:w="15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6-9</w:t>
            </w:r>
          </w:p>
        </w:tc>
        <w:tc>
          <w:tcPr>
            <w:tcW w:type="dxa" w:w="15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5</w:t>
            </w:r>
          </w:p>
        </w:tc>
      </w:tr>
      <w:tr>
        <w:tc>
          <w:tcPr>
            <w:tcW w:type="dxa" w:w="30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role-3.md</w:t>
            </w:r>
          </w:p>
        </w:tc>
        <w:tc>
          <w:tcPr>
            <w:tcW w:type="dxa" w:w="15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w:t>
            </w:r>
          </w:p>
        </w:tc>
        <w:tc>
          <w:tcPr>
            <w:tcW w:type="dxa" w:w="15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39</w:t>
            </w:r>
          </w:p>
        </w:tc>
        <w:tc>
          <w:tcPr>
            <w:tcW w:type="dxa" w:w="15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6-9</w:t>
            </w:r>
          </w:p>
        </w:tc>
        <w:tc>
          <w:tcPr>
            <w:tcW w:type="dxa" w:w="15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5</w:t>
            </w:r>
          </w:p>
        </w:tc>
      </w:tr>
      <w:tr>
        <w:tc>
          <w:tcPr>
            <w:tcW w:type="dxa" w:w="30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role-4.md</w:t>
            </w:r>
          </w:p>
        </w:tc>
        <w:tc>
          <w:tcPr>
            <w:tcW w:type="dxa" w:w="15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w:t>
            </w:r>
          </w:p>
        </w:tc>
        <w:tc>
          <w:tcPr>
            <w:tcW w:type="dxa" w:w="15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44</w:t>
            </w:r>
          </w:p>
        </w:tc>
        <w:tc>
          <w:tcPr>
            <w:tcW w:type="dxa" w:w="15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6-9</w:t>
            </w:r>
          </w:p>
        </w:tc>
        <w:tc>
          <w:tcPr>
            <w:tcW w:type="dxa" w:w="15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4</w:t>
            </w:r>
          </w:p>
        </w:tc>
      </w:tr>
      <w:tr>
        <w:tc>
          <w:tcPr>
            <w:tcW w:type="dxa" w:w="30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role-5.md</w:t>
            </w:r>
          </w:p>
        </w:tc>
        <w:tc>
          <w:tcPr>
            <w:tcW w:type="dxa" w:w="15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w:t>
            </w:r>
          </w:p>
        </w:tc>
        <w:tc>
          <w:tcPr>
            <w:tcW w:type="dxa" w:w="15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36</w:t>
            </w:r>
          </w:p>
        </w:tc>
        <w:tc>
          <w:tcPr>
            <w:tcW w:type="dxa" w:w="15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6-9</w:t>
            </w:r>
          </w:p>
        </w:tc>
        <w:tc>
          <w:tcPr>
            <w:tcW w:type="dxa" w:w="15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4</w:t>
            </w:r>
          </w:p>
        </w:tc>
      </w:tr>
      <w:tr>
        <w:tc>
          <w:tcPr>
            <w:tcW w:type="dxa" w:w="30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role-6.md</w:t>
            </w:r>
          </w:p>
        </w:tc>
        <w:tc>
          <w:tcPr>
            <w:tcW w:type="dxa" w:w="15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w:t>
            </w:r>
          </w:p>
        </w:tc>
        <w:tc>
          <w:tcPr>
            <w:tcW w:type="dxa" w:w="15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29</w:t>
            </w:r>
          </w:p>
        </w:tc>
        <w:tc>
          <w:tcPr>
            <w:tcW w:type="dxa" w:w="15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6-9</w:t>
            </w:r>
          </w:p>
        </w:tc>
        <w:tc>
          <w:tcPr>
            <w:tcW w:type="dxa" w:w="15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4</w:t>
            </w:r>
          </w:p>
        </w:tc>
      </w:tr>
      <w:tr>
        <w:tc>
          <w:tcPr>
            <w:tcW w:type="dxa" w:w="30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recommandation.md</w:t>
            </w:r>
          </w:p>
        </w:tc>
        <w:tc>
          <w:tcPr>
            <w:tcW w:type="dxa" w:w="15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w:t>
            </w:r>
          </w:p>
        </w:tc>
        <w:tc>
          <w:tcPr>
            <w:tcW w:type="dxa" w:w="15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2</w:t>
            </w:r>
          </w:p>
        </w:tc>
        <w:tc>
          <w:tcPr>
            <w:tcW w:type="dxa" w:w="15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c>
          <w:tcPr>
            <w:tcW w:type="dxa" w:w="15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w:t>
            </w:r>
          </w:p>
        </w:tc>
      </w:tr>
      <w:tr>
        <w:tc>
          <w:tcPr>
            <w:tcW w:type="dxa" w:w="3026"/>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outils-ia.md</w:t>
            </w:r>
          </w:p>
        </w:tc>
        <w:tc>
          <w:tcPr>
            <w:tcW w:type="dxa" w:w="15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w:t>
            </w:r>
          </w:p>
        </w:tc>
        <w:tc>
          <w:tcPr>
            <w:tcW w:type="dxa" w:w="15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11</w:t>
            </w:r>
          </w:p>
        </w:tc>
        <w:tc>
          <w:tcPr>
            <w:tcW w:type="dxa" w:w="1500"/>
            <w:tcMar>
              <w:top w:type="dxa" w:w="40"/>
              <w:left w:type="dxa" w:w="80"/>
              <w:bottom w:type="dxa" w:w="40"/>
              <w:right w:type="dxa" w:w="80"/>
            </w:tcMar>
          </w:tcPr>
          <w:p>
            <w:pPr>
              <w:spacing w:after="0"/>
              <w:jc w:val="left"/>
            </w:pPr>
            <w:r>
              <w:rPr>
                <w:rFonts w:ascii="Arial" w:cs="Arial" w:eastAsia="Arial" w:hAnsi="Arial"/>
                <w:b w:val="false"/>
                <w:bCs w:val="false"/>
                <w:sz w:val="18"/>
                <w:szCs w:val="18"/>
              </w:rPr>
              <w:t xml:space="preserve">—</w:t>
            </w:r>
          </w:p>
        </w:tc>
        <w:tc>
          <w:tcPr>
            <w:tcW w:type="dxa" w:w="1500"/>
            <w:tcMar>
              <w:top w:type="dxa" w:w="40"/>
              <w:left w:type="dxa" w:w="80"/>
              <w:bottom w:type="dxa" w:w="40"/>
              <w:right w:type="dxa" w:w="80"/>
            </w:tcMar>
          </w:tcPr>
          <w:p>
            <w:pPr>
              <w:spacing w:after="0"/>
              <w:jc w:val="right"/>
            </w:pPr>
            <w:r>
              <w:rPr>
                <w:rFonts w:ascii="Arial" w:cs="Arial" w:eastAsia="Arial" w:hAnsi="Arial"/>
                <w:b w:val="false"/>
                <w:bCs w:val="false"/>
                <w:sz w:val="18"/>
                <w:szCs w:val="18"/>
              </w:rPr>
              <w:t xml:space="preserve">1</w:t>
            </w:r>
          </w:p>
        </w:tc>
      </w:tr>
    </w:tbl>
    <w:p>
      <w:pPr>
        <w:pStyle w:val="Heading2"/>
        <w:spacing w:after="120" w:before="240"/>
      </w:pPr>
      <w:r>
        <w:rPr>
          <w:rFonts w:ascii="Arial" w:cs="Arial" w:eastAsia="Arial" w:hAnsi="Arial"/>
        </w:rPr>
        <w:t xml:space="preserve">Jetons inconnus (0)</w:t>
      </w:r>
    </w:p>
    <w:p>
      <w:pPr>
        <w:spacing w:after="120" w:line="300"/>
      </w:pPr>
      <w:r>
        <w:rPr>
          <w:rFonts w:ascii="Arial" w:cs="Arial" w:eastAsia="Arial" w:hAnsi="Arial"/>
          <w:i/>
          <w:iCs/>
          <w:sz w:val="22"/>
          <w:szCs w:val="22"/>
        </w:rPr>
        <w:t xml:space="preserve">aucun</w:t>
      </w:r>
    </w:p>
    <w:p>
      <w:pPr>
        <w:pStyle w:val="Heading2"/>
        <w:spacing w:after="120" w:before="240"/>
      </w:pPr>
      <w:r>
        <w:rPr>
          <w:rFonts w:ascii="Arial" w:cs="Arial" w:eastAsia="Arial" w:hAnsi="Arial"/>
        </w:rPr>
        <w:t xml:space="preserve">Lignes citées que personne n'a relues (0)</w:t>
      </w:r>
    </w:p>
    <w:p>
      <w:pPr>
        <w:spacing w:after="120" w:line="300"/>
      </w:pPr>
      <w:r>
        <w:rPr>
          <w:rFonts w:ascii="Arial" w:cs="Arial" w:eastAsia="Arial" w:hAnsi="Arial"/>
          <w:i/>
          <w:iCs/>
          <w:sz w:val="22"/>
          <w:szCs w:val="22"/>
        </w:rPr>
        <w:t xml:space="preserve">aucun</w:t>
      </w:r>
    </w:p>
    <w:p>
      <w:pPr>
        <w:pStyle w:val="Heading2"/>
        <w:spacing w:after="120" w:before="240"/>
      </w:pPr>
      <w:r>
        <w:rPr>
          <w:rFonts w:ascii="Arial" w:cs="Arial" w:eastAsia="Arial" w:hAnsi="Arial"/>
        </w:rPr>
        <w:t xml:space="preserve">Lignes citées contestées (0)</w:t>
      </w:r>
    </w:p>
    <w:p>
      <w:pPr>
        <w:spacing w:after="120" w:line="300"/>
      </w:pPr>
      <w:r>
        <w:rPr>
          <w:rFonts w:ascii="Arial" w:cs="Arial" w:eastAsia="Arial" w:hAnsi="Arial"/>
          <w:i/>
          <w:iCs/>
          <w:sz w:val="22"/>
          <w:szCs w:val="22"/>
        </w:rPr>
        <w:t xml:space="preserve">aucun</w:t>
      </w:r>
    </w:p>
    <w:p>
      <w:pPr>
        <w:pStyle w:val="Heading2"/>
        <w:spacing w:after="120" w:before="240"/>
      </w:pPr>
      <w:r>
        <w:rPr>
          <w:rFonts w:ascii="Arial" w:cs="Arial" w:eastAsia="Arial" w:hAnsi="Arial"/>
        </w:rPr>
        <w:t xml:space="preserve">Fichiers absents ou vides</w:t>
      </w:r>
    </w:p>
    <w:p>
      <w:pPr>
        <w:pStyle w:val="ListParagraph"/>
        <w:numPr>
          <w:ilvl w:val="0"/>
          <w:numId w:val="5"/>
        </w:numPr>
        <w:spacing w:after="80"/>
      </w:pPr>
      <w:r>
        <w:rPr>
          <w:rFonts w:ascii="Arial" w:cs="Arial" w:eastAsia="Arial" w:hAnsi="Arial"/>
          <w:sz w:val="22"/>
          <w:szCs w:val="22"/>
        </w:rPr>
        <w:t xml:space="preserve">role-1.md</w:t>
      </w:r>
    </w:p>
    <w:p>
      <w:pPr>
        <w:pStyle w:val="ListParagraph"/>
        <w:numPr>
          <w:ilvl w:val="0"/>
          <w:numId w:val="5"/>
        </w:numPr>
        <w:spacing w:after="80"/>
      </w:pPr>
      <w:r>
        <w:rPr>
          <w:rFonts w:ascii="Arial" w:cs="Arial" w:eastAsia="Arial" w:hAnsi="Arial"/>
          <w:sz w:val="22"/>
          <w:szCs w:val="22"/>
        </w:rPr>
        <w:t xml:space="preserve">role-2.md</w:t>
      </w:r>
    </w:p>
    <w:p>
      <w:pPr>
        <w:pStyle w:val="ListParagraph"/>
        <w:numPr>
          <w:ilvl w:val="0"/>
          <w:numId w:val="5"/>
        </w:numPr>
        <w:spacing w:after="80"/>
      </w:pPr>
      <w:r>
        <w:rPr>
          <w:rFonts w:ascii="Arial" w:cs="Arial" w:eastAsia="Arial" w:hAnsi="Arial"/>
          <w:sz w:val="22"/>
          <w:szCs w:val="22"/>
        </w:rPr>
        <w:t xml:space="preserve">role-3.md</w:t>
      </w:r>
    </w:p>
    <w:p>
      <w:pPr>
        <w:pStyle w:val="ListParagraph"/>
        <w:numPr>
          <w:ilvl w:val="0"/>
          <w:numId w:val="5"/>
        </w:numPr>
        <w:spacing w:after="80"/>
      </w:pPr>
      <w:r>
        <w:rPr>
          <w:rFonts w:ascii="Arial" w:cs="Arial" w:eastAsia="Arial" w:hAnsi="Arial"/>
          <w:sz w:val="22"/>
          <w:szCs w:val="22"/>
        </w:rPr>
        <w:t xml:space="preserve">role-4.md</w:t>
      </w:r>
    </w:p>
    <w:p>
      <w:pPr>
        <w:pStyle w:val="ListParagraph"/>
        <w:numPr>
          <w:ilvl w:val="0"/>
          <w:numId w:val="5"/>
        </w:numPr>
        <w:spacing w:after="80"/>
      </w:pPr>
      <w:r>
        <w:rPr>
          <w:rFonts w:ascii="Arial" w:cs="Arial" w:eastAsia="Arial" w:hAnsi="Arial"/>
          <w:sz w:val="22"/>
          <w:szCs w:val="22"/>
        </w:rPr>
        <w:t xml:space="preserve">role-5.md</w:t>
      </w:r>
    </w:p>
    <w:p>
      <w:pPr>
        <w:pStyle w:val="ListParagraph"/>
        <w:numPr>
          <w:ilvl w:val="0"/>
          <w:numId w:val="5"/>
        </w:numPr>
        <w:spacing w:after="80"/>
      </w:pPr>
      <w:r>
        <w:rPr>
          <w:rFonts w:ascii="Arial" w:cs="Arial" w:eastAsia="Arial" w:hAnsi="Arial"/>
          <w:sz w:val="22"/>
          <w:szCs w:val="22"/>
        </w:rPr>
        <w:t xml:space="preserve">role-6.md</w:t>
      </w:r>
    </w:p>
    <w:p>
      <w:pPr>
        <w:pStyle w:val="Heading2"/>
        <w:spacing w:after="120" w:before="240"/>
      </w:pPr>
      <w:r>
        <w:rPr>
          <w:rFonts w:ascii="Arial" w:cs="Arial" w:eastAsia="Arial" w:hAnsi="Arial"/>
        </w:rPr>
        <w:t xml:space="preserve">Chiffres du registre jamais cités par leur rôle</w:t>
      </w:r>
    </w:p>
    <w:p>
      <w:pPr>
        <w:pStyle w:val="ListParagraph"/>
        <w:numPr>
          <w:ilvl w:val="0"/>
          <w:numId w:val="5"/>
        </w:numPr>
        <w:spacing w:after="80"/>
      </w:pPr>
      <w:r>
        <w:rPr>
          <w:rFonts w:ascii="Arial" w:cs="Arial" w:eastAsia="Arial" w:hAnsi="Arial"/>
          <w:sz w:val="22"/>
          <w:szCs w:val="22"/>
        </w:rPr>
        <w:t xml:space="preserve">rôle 1 : 20 — F2, F18, F32, F90, F91, F92, F129, F130, F131, F132, F133, F134, F135, F136, F137, F138, F654, F659, F661, F662</w:t>
      </w:r>
    </w:p>
    <w:p>
      <w:pPr>
        <w:pStyle w:val="ListParagraph"/>
        <w:numPr>
          <w:ilvl w:val="0"/>
          <w:numId w:val="5"/>
        </w:numPr>
        <w:spacing w:after="80"/>
      </w:pPr>
      <w:r>
        <w:rPr>
          <w:rFonts w:ascii="Arial" w:cs="Arial" w:eastAsia="Arial" w:hAnsi="Arial"/>
          <w:sz w:val="22"/>
          <w:szCs w:val="22"/>
        </w:rPr>
        <w:t xml:space="preserve">rôle 2 : 256 — F1, F3, F6, F8, F10, F11, F12, F14, F16, F17, F19, F20, F22, F23, F26, F51, F55, F56, F57, F66 …</w:t>
      </w:r>
    </w:p>
    <w:p>
      <w:pPr>
        <w:pStyle w:val="ListParagraph"/>
        <w:numPr>
          <w:ilvl w:val="0"/>
          <w:numId w:val="5"/>
        </w:numPr>
        <w:spacing w:after="80"/>
      </w:pPr>
      <w:r>
        <w:rPr>
          <w:rFonts w:ascii="Arial" w:cs="Arial" w:eastAsia="Arial" w:hAnsi="Arial"/>
          <w:sz w:val="22"/>
          <w:szCs w:val="22"/>
        </w:rPr>
        <w:t xml:space="preserve">rôle 3 : 131 — F4, F5, F7, F9, F13, F15, F21, F24, F25, F27, F28, F29, F30, F31, F53, F64, F65, F67, F68, F69 …</w:t>
      </w:r>
    </w:p>
    <w:p>
      <w:pPr>
        <w:pStyle w:val="ListParagraph"/>
        <w:numPr>
          <w:ilvl w:val="0"/>
          <w:numId w:val="5"/>
        </w:numPr>
        <w:spacing w:after="80"/>
      </w:pPr>
      <w:r>
        <w:rPr>
          <w:rFonts w:ascii="Arial" w:cs="Arial" w:eastAsia="Arial" w:hAnsi="Arial"/>
          <w:sz w:val="22"/>
          <w:szCs w:val="22"/>
        </w:rPr>
        <w:t xml:space="preserve">rôle 4 : 133 — F33, F34, F35, F36, F37, F38, F39, F40, F41, F52, F54, F58, F59, F60, F61, F62, F63, F93, F94, F95 …</w:t>
      </w:r>
    </w:p>
    <w:p>
      <w:pPr>
        <w:pStyle w:val="ListParagraph"/>
        <w:numPr>
          <w:ilvl w:val="0"/>
          <w:numId w:val="5"/>
        </w:numPr>
        <w:spacing w:after="80"/>
      </w:pPr>
      <w:r>
        <w:rPr>
          <w:rFonts w:ascii="Arial" w:cs="Arial" w:eastAsia="Arial" w:hAnsi="Arial"/>
          <w:sz w:val="22"/>
          <w:szCs w:val="22"/>
        </w:rPr>
        <w:t xml:space="preserve">rôle 5 : 66 — F42, F43, F44, F45, F98, F99, F100, F101, F102, F103, F104, F105, F106, F107, F108, F109, F127, F128, F218, F219 …</w:t>
      </w:r>
    </w:p>
    <w:p>
      <w:pPr>
        <w:pStyle w:val="ListParagraph"/>
        <w:numPr>
          <w:ilvl w:val="0"/>
          <w:numId w:val="5"/>
        </w:numPr>
        <w:spacing w:after="80"/>
      </w:pPr>
      <w:r>
        <w:rPr>
          <w:rFonts w:ascii="Arial" w:cs="Arial" w:eastAsia="Arial" w:hAnsi="Arial"/>
          <w:sz w:val="22"/>
          <w:szCs w:val="22"/>
        </w:rPr>
        <w:t xml:space="preserve">rôle 6 : 64 — F46, F47, F48, F49, F50, F76, F77, F209, F210, F211, F212, F213, F214, F215, F216, F443, F444, F445, F471, F472 …</w:t>
      </w:r>
    </w:p>
    <w:sectPr>
      <w:footerReference w:type="default" r:id="rId6"/>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777777"/>
        <w:sz w:val="18"/>
        <w:szCs w:val="18"/>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270"/>
      </w:pPr>
    </w:lvl>
  </w:abstractNum>
  <w:abstractNum w:abstractNumId="3" w15:restartNumberingAfterBreak="0">
    <w:multiLevelType w:val="hybridMultilevel"/>
    <w:lvl w:ilvl="0" w:tentative="1">
      <w:start w:val="1"/>
      <w:numFmt w:val="decimal"/>
      <w:lvlText w:val="%1."/>
      <w:lvlJc w:val="left"/>
      <w:pPr>
        <w:ind w:left="540" w:hanging="360"/>
      </w:pPr>
    </w:lvl>
  </w:abstractNum>
  <w:abstractNum w:abstractNumId="4" w15:restartNumberingAfterBreak="0">
    <w:multiLevelType w:val="hybridMultilevel"/>
    <w:lvl w:ilvl="0" w:tentative="1">
      <w:start w:val="1"/>
      <w:numFmt w:val="decimal"/>
      <w:lvlText w:val="%1."/>
      <w:lvlJc w:val="left"/>
      <w:pPr>
        <w:ind w:left="540" w:hanging="360"/>
      </w:pPr>
    </w:lvl>
  </w:abstractNum>
  <w:abstractNum w:abstractNumId="5" w15:restartNumberingAfterBreak="0">
    <w:multiLevelType w:val="hybridMultilevel"/>
    <w:lvl w:ilvl="0" w:tentative="1">
      <w:start w:val="1"/>
      <w:numFmt w:val="decimal"/>
      <w:lvlText w:val="%1."/>
      <w:lvlJc w:val="left"/>
      <w:pPr>
        <w:ind w:left="540" w:hanging="360"/>
      </w:pPr>
    </w:lvl>
  </w:abstractNum>
  <w:abstractNum w:abstractNumId="6" w15:restartNumberingAfterBreak="0">
    <w:multiLevelType w:val="hybridMultilevel"/>
    <w:lvl w:ilvl="0" w:tentative="1">
      <w:start w:val="1"/>
      <w:numFmt w:val="decimal"/>
      <w:lvlText w:val="%1."/>
      <w:lvlJc w:val="left"/>
      <w:pPr>
        <w:ind w:left="540" w:hanging="360"/>
      </w:pPr>
    </w:lvl>
  </w:abstractNum>
  <w:abstractNum w:abstractNumId="7" w15:restartNumberingAfterBreak="0">
    <w:multiLevelType w:val="hybridMultilevel"/>
    <w:lvl w:ilvl="0" w:tentative="1">
      <w:start w:val="1"/>
      <w:numFmt w:val="decimal"/>
      <w:lvlText w:val="%1."/>
      <w:lvlJc w:val="left"/>
      <w:pPr>
        <w:ind w:left="540" w:hanging="360"/>
      </w:pPr>
    </w:lvl>
  </w:abstractNum>
  <w:abstractNum w:abstractNumId="8" w15:restartNumberingAfterBreak="0">
    <w:multiLevelType w:val="hybridMultilevel"/>
    <w:lvl w:ilvl="0" w:tentative="1">
      <w:start w:val="1"/>
      <w:numFmt w:val="decimal"/>
      <w:lvlText w:val="%1."/>
      <w:lvlJc w:val="left"/>
      <w:pPr>
        <w:ind w:left="540" w:hanging="360"/>
      </w:pPr>
    </w:lvl>
  </w:abstractNum>
  <w:abstractNum w:abstractNumId="9" w15:restartNumberingAfterBreak="0">
    <w:multiLevelType w:val="hybridMultilevel"/>
    <w:lvl w:ilvl="0" w:tentative="1">
      <w:start w:val="1"/>
      <w:numFmt w:val="decimal"/>
      <w:lvlText w:val="%1."/>
      <w:lvlJc w:val="left"/>
      <w:pPr>
        <w:ind w:left="540" w:hanging="360"/>
      </w:pPr>
    </w:lvl>
  </w:abstractNum>
  <w:abstractNum w:abstractNumId="10" w15:restartNumberingAfterBreak="0">
    <w:multiLevelType w:val="hybridMultilevel"/>
    <w:lvl w:ilvl="0" w:tentative="1">
      <w:start w:val="1"/>
      <w:numFmt w:val="decimal"/>
      <w:lvlText w:val="%1."/>
      <w:lvlJc w:val="left"/>
      <w:pPr>
        <w:ind w:left="540" w:hanging="360"/>
      </w:pPr>
    </w:lvl>
  </w:abstractNum>
  <w:num w:numId="1">
    <w:abstractNumId w:val="1"/>
    <w:lvlOverride w:ilvl="0">
      <w:startOverride w:val="1"/>
    </w:lvlOverride>
  </w:num>
  <w:num w:numId="2">
    <w:abstractNumId w:val="3"/>
    <w:lvlOverride w:ilvl="0">
      <w:startOverride w:val="1"/>
    </w:lvlOverride>
  </w:num>
  <w:num w:numId="3">
    <w:abstractNumId w:val="4"/>
    <w:lvlOverride w:ilvl="0">
      <w:startOverride w:val="1"/>
    </w:lvlOverride>
  </w:num>
  <w:num w:numId="4">
    <w:abstractNumId w:val="5"/>
    <w:lvlOverride w:ilvl="0">
      <w:startOverride w:val="1"/>
    </w:lvlOverride>
  </w:num>
  <w:num w:numId="5">
    <w:abstractNumId w:val="2"/>
    <w:lvlOverride w:ilvl="0">
      <w:startOverride w:val="1"/>
    </w:lvlOverride>
  </w:num>
  <w:num w:numId="6">
    <w:abstractNumId w:val="6"/>
    <w:lvlOverride w:ilvl="0">
      <w:startOverride w:val="1"/>
    </w:lvlOverride>
  </w:num>
  <w:num w:numId="7">
    <w:abstractNumId w:val="7"/>
    <w:lvlOverride w:ilvl="0">
      <w:startOverride w:val="1"/>
    </w:lvlOverride>
  </w:num>
  <w:num w:numId="8">
    <w:abstractNumId w:val="8"/>
    <w:lvlOverride w:ilvl="0">
      <w:startOverride w:val="1"/>
    </w:lvlOverride>
  </w:num>
  <w:num w:numId="9">
    <w:abstractNumId w:val="9"/>
    <w:lvlOverride w:ilvl="0">
      <w:startOverride w:val="1"/>
    </w:lvlOverride>
  </w:num>
  <w:num w:numId="10">
    <w:abstractNumId w:val="10"/>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j1do9drwizognsic2cmeh" Type="http://schemas.openxmlformats.org/officeDocument/2006/relationships/hyperlink" Target="https://dataroom.is42.fr:8443/visualisation/rapport.html"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GreenUp 2027 : combien Veolia peut-elle encore acheter sans dépasser ses engagements de levier ?</dc:title>
  <dc:creator>Groupe sujet 2</dc:creator>
  <cp:lastModifiedBy>Un-named</cp:lastModifiedBy>
  <cp:revision>1</cp:revision>
  <dcterms:created xsi:type="dcterms:W3CDTF">2026-10-10T18:14:43.713Z</dcterms:created>
  <dcterms:modified xsi:type="dcterms:W3CDTF">2026-10-10T18:14:43.714Z</dcterms:modified>
</cp:coreProperties>
</file>

<file path=docProps/custom.xml><?xml version="1.0" encoding="utf-8"?>
<Properties xmlns="http://schemas.openxmlformats.org/officeDocument/2006/custom-properties" xmlns:vt="http://schemas.openxmlformats.org/officeDocument/2006/docPropsVTypes"/>
</file>